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79A9" w14:textId="07E934A1" w:rsidR="008377D4" w:rsidRDefault="00292802">
      <w:r>
        <w:rPr>
          <w:noProof/>
          <w:lang w:eastAsia="fr-FR"/>
        </w:rPr>
        <mc:AlternateContent>
          <mc:Choice Requires="wpg">
            <w:drawing>
              <wp:anchor distT="0" distB="0" distL="114300" distR="114300" simplePos="0" relativeHeight="251669504" behindDoc="0" locked="0" layoutInCell="1" allowOverlap="1" wp14:anchorId="13ED198C" wp14:editId="44593B05">
                <wp:simplePos x="0" y="0"/>
                <wp:positionH relativeFrom="column">
                  <wp:posOffset>56889</wp:posOffset>
                </wp:positionH>
                <wp:positionV relativeFrom="paragraph">
                  <wp:posOffset>118224</wp:posOffset>
                </wp:positionV>
                <wp:extent cx="5610586" cy="2257439"/>
                <wp:effectExtent l="0" t="19050" r="28575" b="9525"/>
                <wp:wrapNone/>
                <wp:docPr id="8" name="Groupe 8"/>
                <wp:cNvGraphicFramePr/>
                <a:graphic xmlns:a="http://schemas.openxmlformats.org/drawingml/2006/main">
                  <a:graphicData uri="http://schemas.microsoft.com/office/word/2010/wordprocessingGroup">
                    <wpg:wgp>
                      <wpg:cNvGrpSpPr/>
                      <wpg:grpSpPr>
                        <a:xfrm>
                          <a:off x="0" y="0"/>
                          <a:ext cx="5610586" cy="2257439"/>
                          <a:chOff x="54662" y="110182"/>
                          <a:chExt cx="5611649" cy="1859043"/>
                        </a:xfrm>
                      </wpg:grpSpPr>
                      <wps:wsp>
                        <wps:cNvPr id="217" name="Zone de texte 2"/>
                        <wps:cNvSpPr txBox="1">
                          <a:spLocks noChangeArrowheads="1"/>
                        </wps:cNvSpPr>
                        <wps:spPr bwMode="auto">
                          <a:xfrm>
                            <a:off x="85509" y="114809"/>
                            <a:ext cx="2626995" cy="925400"/>
                          </a:xfrm>
                          <a:prstGeom prst="rect">
                            <a:avLst/>
                          </a:prstGeom>
                          <a:solidFill>
                            <a:srgbClr val="FFFFFF"/>
                          </a:solidFill>
                          <a:ln w="38100">
                            <a:solidFill>
                              <a:srgbClr val="A0D5CD"/>
                            </a:solidFill>
                            <a:miter lim="800000"/>
                            <a:headEnd/>
                            <a:tailEnd/>
                          </a:ln>
                        </wps:spPr>
                        <wps:txbx>
                          <w:txbxContent>
                            <w:p w14:paraId="53023DA1" w14:textId="77777777" w:rsidR="00292802" w:rsidRPr="00DE1C45" w:rsidRDefault="00ED343A" w:rsidP="00292802">
                              <w:pPr>
                                <w:pStyle w:val="Titre3"/>
                              </w:pPr>
                              <w:bookmarkStart w:id="0" w:name="_Toc136011223"/>
                              <w:r w:rsidRPr="00B23A92">
                                <w:t>A</w:t>
                              </w:r>
                              <w:bookmarkEnd w:id="0"/>
                              <w:r w:rsidR="00292802">
                                <w:t>2</w:t>
                              </w:r>
                              <w:r w:rsidR="00B23A92" w:rsidRPr="00B23A92">
                                <w:t>F</w:t>
                              </w:r>
                              <w:r w:rsidR="00292802">
                                <w:t>8</w:t>
                              </w:r>
                              <w:r w:rsidR="00B23A92" w:rsidRPr="00B23A92">
                                <w:t xml:space="preserve"> – </w:t>
                              </w:r>
                              <w:r w:rsidR="00292802" w:rsidRPr="00DE1C45">
                                <w:t>Poursuite de l’acquisition de connaissances et du partage des données sur les ressources disponibles, les consommations et les prélèvements</w:t>
                              </w:r>
                            </w:p>
                            <w:p w14:paraId="5660BBF7" w14:textId="18031E3C" w:rsidR="00ED343A" w:rsidRPr="00B23A92" w:rsidRDefault="00ED343A" w:rsidP="00292802">
                              <w:pPr>
                                <w:pStyle w:val="Titre3"/>
                              </w:pPr>
                            </w:p>
                            <w:p w14:paraId="3C8939DC" w14:textId="77B7CC70" w:rsidR="00ED343A" w:rsidRDefault="00ED343A" w:rsidP="00292802">
                              <w:pPr>
                                <w:pStyle w:val="Titre3"/>
                              </w:pPr>
                            </w:p>
                          </w:txbxContent>
                        </wps:txbx>
                        <wps:bodyPr rot="0" vert="horz" wrap="square" lIns="91440" tIns="45720" rIns="91440" bIns="45720" anchor="t" anchorCtr="0">
                          <a:noAutofit/>
                        </wps:bodyPr>
                      </wps:wsp>
                      <wps:wsp>
                        <wps:cNvPr id="3" name="Zone de texte 2"/>
                        <wps:cNvSpPr txBox="1">
                          <a:spLocks noChangeArrowheads="1"/>
                        </wps:cNvSpPr>
                        <wps:spPr bwMode="auto">
                          <a:xfrm>
                            <a:off x="2814526" y="110182"/>
                            <a:ext cx="2851785" cy="929762"/>
                          </a:xfrm>
                          <a:prstGeom prst="rect">
                            <a:avLst/>
                          </a:prstGeom>
                          <a:solidFill>
                            <a:srgbClr val="A0D5CD"/>
                          </a:solidFill>
                          <a:ln w="9525">
                            <a:solidFill>
                              <a:srgbClr val="A0D5CD"/>
                            </a:solidFill>
                            <a:miter lim="800000"/>
                            <a:headEnd/>
                            <a:tailEnd/>
                          </a:ln>
                        </wps:spPr>
                        <wps:txbx>
                          <w:txbxContent>
                            <w:p w14:paraId="4532BCB0" w14:textId="77777777" w:rsidR="00292802" w:rsidRPr="006D5F0D" w:rsidRDefault="00292802" w:rsidP="00292802">
                              <w:pPr>
                                <w:pStyle w:val="Titre3"/>
                              </w:pPr>
                              <w:r w:rsidRPr="006D5F0D">
                                <w:t>AXE 2 : Mieux gérer les ressources disponibles et explorer la possibilite de mobiliser de nouvelles ressources</w:t>
                              </w:r>
                            </w:p>
                            <w:p w14:paraId="6AF734CB" w14:textId="3B9B059A" w:rsidR="00ED343A" w:rsidRPr="00ED343A" w:rsidRDefault="00ED343A" w:rsidP="00F811CA">
                              <w:pPr>
                                <w:pStyle w:val="Titre3"/>
                              </w:pPr>
                            </w:p>
                          </w:txbxContent>
                        </wps:txbx>
                        <wps:bodyPr rot="0" vert="horz" wrap="square" lIns="91440" tIns="45720" rIns="91440" bIns="45720" anchor="t" anchorCtr="0">
                          <a:noAutofit/>
                        </wps:bodyPr>
                      </wps:wsp>
                      <wps:wsp>
                        <wps:cNvPr id="4" name="Rectangle : coins arrondis 4"/>
                        <wps:cNvSpPr/>
                        <wps:spPr>
                          <a:xfrm>
                            <a:off x="112815" y="1227811"/>
                            <a:ext cx="1943100" cy="343584"/>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 coins arrondis 5"/>
                        <wps:cNvSpPr/>
                        <wps:spPr>
                          <a:xfrm>
                            <a:off x="112810" y="1227805"/>
                            <a:ext cx="539231" cy="342900"/>
                          </a:xfrm>
                          <a:prstGeom prst="roundRect">
                            <a:avLst/>
                          </a:prstGeom>
                          <a:pattFill prst="narHorz">
                            <a:fgClr>
                              <a:srgbClr val="A0D5CD"/>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2"/>
                        <wps:cNvSpPr txBox="1">
                          <a:spLocks noChangeArrowheads="1"/>
                        </wps:cNvSpPr>
                        <wps:spPr bwMode="auto">
                          <a:xfrm>
                            <a:off x="54662" y="1631405"/>
                            <a:ext cx="2701712" cy="337820"/>
                          </a:xfrm>
                          <a:prstGeom prst="rect">
                            <a:avLst/>
                          </a:prstGeom>
                          <a:solidFill>
                            <a:srgbClr val="FFFFFF"/>
                          </a:solidFill>
                          <a:ln w="9525">
                            <a:noFill/>
                            <a:miter lim="800000"/>
                            <a:headEnd/>
                            <a:tailEnd/>
                          </a:ln>
                        </wps:spPr>
                        <wps:txbx>
                          <w:txbxContent>
                            <w:p w14:paraId="1D000484" w14:textId="112BB1AF" w:rsidR="009A316F" w:rsidRPr="00426CE7" w:rsidRDefault="004D078C">
                              <w:pPr>
                                <w:rPr>
                                  <w:rFonts w:cs="Arial"/>
                                  <w:szCs w:val="20"/>
                                </w:rPr>
                              </w:pPr>
                              <w:r>
                                <w:rPr>
                                  <w:rFonts w:cs="Arial"/>
                                  <w:szCs w:val="20"/>
                                </w:rPr>
                                <w:t>Consolidation des travaux à mener</w:t>
                              </w:r>
                              <w:r w:rsidR="009A316F" w:rsidRPr="00426CE7">
                                <w:rPr>
                                  <w:rFonts w:cs="Arial"/>
                                  <w:szCs w:val="20"/>
                                </w:rPr>
                                <w:t xml:space="preserve"> en cours.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ED198C" id="Groupe 8" o:spid="_x0000_s1026" style="position:absolute;left:0;text-align:left;margin-left:4.5pt;margin-top:9.3pt;width:441.8pt;height:177.75pt;z-index:251669504;mso-width-relative:margin;mso-height-relative:margin" coordorigin="546,1101" coordsize="56116,1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">
                <v:shapetype id="_x0000_t202" coordsize="21600,21600" o:spt="202" path="m,l,21600r21600,l21600,xe">
                  <v:stroke joinstyle="miter"/>
                  <v:path gradientshapeok="t" o:connecttype="rect"/>
                </v:shapetype>
                <v:shape id="_x0000_s1027" type="#_x0000_t202" style="position:absolute;left:855;top:1148;width:26270;height: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" strokecolor="#a0d5cd" strokeweight="3pt">
                  <v:textbox>
                    <w:txbxContent>
                      <w:p w14:paraId="53023DA1" w14:textId="77777777" w:rsidR="00292802" w:rsidRPr="00DE1C45" w:rsidRDefault="00ED343A" w:rsidP="00292802">
                        <w:pPr>
                          <w:pStyle w:val="Titre3"/>
                        </w:pPr>
                        <w:bookmarkStart w:id="1" w:name="_Toc136011223"/>
                        <w:r w:rsidRPr="00B23A92">
                          <w:t>A</w:t>
                        </w:r>
                        <w:bookmarkEnd w:id="1"/>
                        <w:r w:rsidR="00292802">
                          <w:t>2</w:t>
                        </w:r>
                        <w:r w:rsidR="00B23A92" w:rsidRPr="00B23A92">
                          <w:t>F</w:t>
                        </w:r>
                        <w:r w:rsidR="00292802">
                          <w:t>8</w:t>
                        </w:r>
                        <w:r w:rsidR="00B23A92" w:rsidRPr="00B23A92">
                          <w:t xml:space="preserve"> – </w:t>
                        </w:r>
                        <w:r w:rsidR="00292802" w:rsidRPr="00DE1C45">
                          <w:t>Poursuite de l’acquisition de connaissances et du partage des données sur les ressources disponibles, les consommations et les prélèvements</w:t>
                        </w:r>
                      </w:p>
                      <w:p w14:paraId="5660BBF7" w14:textId="18031E3C" w:rsidR="00ED343A" w:rsidRPr="00B23A92" w:rsidRDefault="00ED343A" w:rsidP="00292802">
                        <w:pPr>
                          <w:pStyle w:val="Titre3"/>
                        </w:pPr>
                      </w:p>
                      <w:p w14:paraId="3C8939DC" w14:textId="77B7CC70" w:rsidR="00ED343A" w:rsidRDefault="00ED343A" w:rsidP="00292802">
                        <w:pPr>
                          <w:pStyle w:val="Titre3"/>
                        </w:pPr>
                      </w:p>
                    </w:txbxContent>
                  </v:textbox>
                </v:shape>
                <v:shape id="_x0000_s1028" type="#_x0000_t202" style="position:absolute;left:28145;top:1101;width:28518;height: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" fillcolor="#a0d5cd" strokecolor="#a0d5cd">
                  <v:textbox>
                    <w:txbxContent>
                      <w:p w14:paraId="4532BCB0" w14:textId="77777777" w:rsidR="00292802" w:rsidRPr="006D5F0D" w:rsidRDefault="00292802" w:rsidP="00292802">
                        <w:pPr>
                          <w:pStyle w:val="Titre3"/>
                        </w:pPr>
                        <w:r w:rsidRPr="006D5F0D">
                          <w:t>AXE 2 : Mieux gérer les ressources disponibles et explorer la possibilite de mobiliser de nouvelles ressources</w:t>
                        </w:r>
                      </w:p>
                      <w:p w14:paraId="6AF734CB" w14:textId="3B9B059A" w:rsidR="00ED343A" w:rsidRPr="00ED343A" w:rsidRDefault="00ED343A" w:rsidP="00F811CA">
                        <w:pPr>
                          <w:pStyle w:val="Titre3"/>
                        </w:pPr>
                      </w:p>
                    </w:txbxContent>
                  </v:textbox>
                </v:shape>
                <v:roundrect id="Rectangle : coins arrondis 4" o:spid="_x0000_s1029" style="position:absolute;left:1128;top:12278;width:19431;height:3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" fillcolor="white [3212]" strokecolor="black [3213]" strokeweight="1pt">
                  <v:stroke joinstyle="miter"/>
                </v:roundrect>
                <v:roundrect id="Rectangle : coins arrondis 5" o:spid="_x0000_s1030" style="position:absolute;left:1128;top:12278;width:5392;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" fillcolor="#a0d5cd" strokecolor="black [3213]" strokeweight="1pt">
                  <v:fill r:id="rId6" o:title="" color2="white [3212]" type="pattern"/>
                  <v:stroke joinstyle="miter"/>
                </v:roundrect>
                <v:shape id="_x0000_s1031" type="#_x0000_t202" style="position:absolute;left:546;top:16314;width:27017;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D000484" w14:textId="112BB1AF" w:rsidR="009A316F" w:rsidRPr="00426CE7" w:rsidRDefault="004D078C">
                        <w:pPr>
                          <w:rPr>
                            <w:rFonts w:cs="Arial"/>
                            <w:szCs w:val="20"/>
                          </w:rPr>
                        </w:pPr>
                        <w:r>
                          <w:rPr>
                            <w:rFonts w:cs="Arial"/>
                            <w:szCs w:val="20"/>
                          </w:rPr>
                          <w:t>Consolidation des travaux à mener</w:t>
                        </w:r>
                        <w:r w:rsidR="009A316F" w:rsidRPr="00426CE7">
                          <w:rPr>
                            <w:rFonts w:cs="Arial"/>
                            <w:szCs w:val="20"/>
                          </w:rPr>
                          <w:t xml:space="preserve"> en cours.</w:t>
                        </w:r>
                      </w:p>
                    </w:txbxContent>
                  </v:textbox>
                </v:shape>
              </v:group>
            </w:pict>
          </mc:Fallback>
        </mc:AlternateContent>
      </w:r>
      <w:r>
        <w:rPr>
          <w:noProof/>
          <w:lang w:eastAsia="fr-FR"/>
        </w:rPr>
        <mc:AlternateContent>
          <mc:Choice Requires="wps">
            <w:drawing>
              <wp:anchor distT="0" distB="0" distL="114300" distR="114300" simplePos="0" relativeHeight="251670528" behindDoc="0" locked="0" layoutInCell="1" allowOverlap="1" wp14:anchorId="7E4483A6" wp14:editId="67C1D025">
                <wp:simplePos x="0" y="0"/>
                <wp:positionH relativeFrom="column">
                  <wp:posOffset>-2648</wp:posOffset>
                </wp:positionH>
                <wp:positionV relativeFrom="paragraph">
                  <wp:posOffset>-2648</wp:posOffset>
                </wp:positionV>
                <wp:extent cx="5715635" cy="2311879"/>
                <wp:effectExtent l="0" t="0" r="18415" b="12700"/>
                <wp:wrapNone/>
                <wp:docPr id="9" name="Rectangle 9"/>
                <wp:cNvGraphicFramePr/>
                <a:graphic xmlns:a="http://schemas.openxmlformats.org/drawingml/2006/main">
                  <a:graphicData uri="http://schemas.microsoft.com/office/word/2010/wordprocessingShape">
                    <wps:wsp>
                      <wps:cNvSpPr/>
                      <wps:spPr>
                        <a:xfrm>
                          <a:off x="0" y="0"/>
                          <a:ext cx="5715635" cy="2311879"/>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F5779C5" id="Rectangle 9" o:spid="_x0000_s1026" style="position:absolute;margin-left:-.2pt;margin-top:-.2pt;width:450.05pt;height:18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" filled="f" strokecolor="#09101d [484]" strokeweight="2pt"/>
            </w:pict>
          </mc:Fallback>
        </mc:AlternateContent>
      </w:r>
    </w:p>
    <w:p w14:paraId="1D8078DF" w14:textId="1A1EC84A" w:rsidR="009A316F" w:rsidRDefault="009A316F"/>
    <w:p w14:paraId="5E32266D" w14:textId="332E67D0" w:rsidR="009A316F" w:rsidRDefault="009A316F"/>
    <w:p w14:paraId="1FD1BB58" w14:textId="0E3B3A46" w:rsidR="009A316F" w:rsidRDefault="009A316F"/>
    <w:p w14:paraId="24D51B5C" w14:textId="5A97B6BE" w:rsidR="009A316F" w:rsidRDefault="00292802">
      <w:r>
        <w:rPr>
          <w:noProof/>
          <w:lang w:eastAsia="fr-FR"/>
        </w:rPr>
        <w:drawing>
          <wp:anchor distT="0" distB="0" distL="114300" distR="114300" simplePos="0" relativeHeight="251671552" behindDoc="0" locked="0" layoutInCell="1" allowOverlap="1" wp14:anchorId="44764277" wp14:editId="031D2C85">
            <wp:simplePos x="0" y="0"/>
            <wp:positionH relativeFrom="margin">
              <wp:posOffset>2434296</wp:posOffset>
            </wp:positionH>
            <wp:positionV relativeFrom="paragraph">
              <wp:posOffset>207896</wp:posOffset>
            </wp:positionV>
            <wp:extent cx="914400" cy="914400"/>
            <wp:effectExtent l="0" t="0" r="0" b="0"/>
            <wp:wrapNone/>
            <wp:docPr id="10" name="Graphique 10" descr="Calendrier à feuill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Calendrier à feuilles contou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p>
    <w:p w14:paraId="4CE109E4" w14:textId="7099E29E" w:rsidR="009A316F" w:rsidRDefault="009A316F"/>
    <w:p w14:paraId="2E5E68D4" w14:textId="0C6AADE4" w:rsidR="009A316F" w:rsidRDefault="00292802">
      <w:r>
        <w:rPr>
          <w:noProof/>
          <w:lang w:eastAsia="fr-FR"/>
        </w:rPr>
        <mc:AlternateContent>
          <mc:Choice Requires="wps">
            <w:drawing>
              <wp:anchor distT="45720" distB="45720" distL="114300" distR="114300" simplePos="0" relativeHeight="251673600" behindDoc="1" locked="0" layoutInCell="1" allowOverlap="1" wp14:anchorId="2554C77D" wp14:editId="286A5232">
                <wp:simplePos x="0" y="0"/>
                <wp:positionH relativeFrom="column">
                  <wp:posOffset>2538730</wp:posOffset>
                </wp:positionH>
                <wp:positionV relativeFrom="paragraph">
                  <wp:posOffset>47940</wp:posOffset>
                </wp:positionV>
                <wp:extent cx="809625" cy="292100"/>
                <wp:effectExtent l="0" t="0" r="952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2100"/>
                        </a:xfrm>
                        <a:prstGeom prst="rect">
                          <a:avLst/>
                        </a:prstGeom>
                        <a:solidFill>
                          <a:srgbClr val="FFFFFF"/>
                        </a:solidFill>
                        <a:ln w="9525">
                          <a:noFill/>
                          <a:miter lim="800000"/>
                          <a:headEnd/>
                          <a:tailEnd/>
                        </a:ln>
                      </wps:spPr>
                      <wps:txbx>
                        <w:txbxContent>
                          <w:p w14:paraId="5A28828E" w14:textId="1EB7A105" w:rsidR="00C20D9F" w:rsidRDefault="004D078C">
                            <w:r>
                              <w:t>20</w:t>
                            </w:r>
                            <w:r w:rsidR="00C20D9F">
                              <w:t>/</w:t>
                            </w:r>
                            <w:r>
                              <w:t>12</w:t>
                            </w:r>
                            <w:r w:rsidR="00C20D9F">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4C77D" id="Zone de texte 2" o:spid="_x0000_s1032" type="#_x0000_t202" style="position:absolute;left:0;text-align:left;margin-left:199.9pt;margin-top:3.75pt;width:63.75pt;height:23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" stroked="f">
                <v:textbox>
                  <w:txbxContent>
                    <w:p w14:paraId="5A28828E" w14:textId="1EB7A105" w:rsidR="00C20D9F" w:rsidRDefault="004D078C">
                      <w:r>
                        <w:t>20</w:t>
                      </w:r>
                      <w:r w:rsidR="00C20D9F">
                        <w:t>/</w:t>
                      </w:r>
                      <w:r>
                        <w:t>12</w:t>
                      </w:r>
                      <w:r w:rsidR="00C20D9F">
                        <w:t>/24</w:t>
                      </w:r>
                    </w:p>
                  </w:txbxContent>
                </v:textbox>
              </v:shape>
            </w:pict>
          </mc:Fallback>
        </mc:AlternateContent>
      </w:r>
    </w:p>
    <w:p w14:paraId="50AB5528" w14:textId="77777777" w:rsidR="00C20D9F" w:rsidRDefault="00C20D9F"/>
    <w:p w14:paraId="41940292" w14:textId="77777777" w:rsidR="00292802" w:rsidRDefault="00292802" w:rsidP="00292802"/>
    <w:p w14:paraId="76AF5E9C" w14:textId="77777777" w:rsidR="00292802" w:rsidRDefault="00292802" w:rsidP="00292802"/>
    <w:p w14:paraId="493DD994" w14:textId="1712A6C1" w:rsidR="009A316F" w:rsidRDefault="009A316F" w:rsidP="00426CE7">
      <w:pPr>
        <w:pStyle w:val="Titre1"/>
      </w:pPr>
      <w:r>
        <w:t>Constat et enjeux</w:t>
      </w:r>
    </w:p>
    <w:p w14:paraId="684948B6" w14:textId="77777777" w:rsidR="00292802" w:rsidRPr="00637E3C" w:rsidRDefault="00292802" w:rsidP="00292802">
      <w:pPr>
        <w:rPr>
          <w:b/>
          <w:bCs/>
        </w:rPr>
      </w:pPr>
      <w:r w:rsidRPr="00637E3C">
        <w:t>La connaissance fine des ressources en eau existantes, des besoins et des différents prélèvements est un préalable pour être en capacité d’agir en faveur de la maîtrise des prélèvements et de la préservation de l’équilibre quantitatif des bassins versants</w:t>
      </w:r>
      <w:r>
        <w:t>. Cela est également essentiel pour anticiper</w:t>
      </w:r>
      <w:r w:rsidRPr="00637E3C">
        <w:t xml:space="preserve"> d’éventuels conflits d’usage à l’avenir.</w:t>
      </w:r>
    </w:p>
    <w:p w14:paraId="2CBAE8D7" w14:textId="385DFACE" w:rsidR="00292802" w:rsidRDefault="00292802" w:rsidP="00292802">
      <w:pPr>
        <w:rPr>
          <w:b/>
          <w:bCs/>
        </w:rPr>
      </w:pPr>
      <w:r w:rsidRPr="007C24FC">
        <w:t xml:space="preserve">La période de sécheresse que nous avons vécue en 2022 a permis de révéler la dimension finie de la ressource en eau. Elle met en évidence notre fragilité dans l'accès à l'eau, </w:t>
      </w:r>
      <w:proofErr w:type="gramStart"/>
      <w:r w:rsidRPr="007C24FC">
        <w:t>sa disponibilité variant</w:t>
      </w:r>
      <w:proofErr w:type="gramEnd"/>
      <w:r w:rsidRPr="007C24FC">
        <w:t xml:space="preserve"> désormais considérablement dans le temps et dans l'espace. La Bretagne présente également des spécificités : l'eau potable est majoritairement produite à partir des eaux de surface (à 75%) et les bassins versants, par leur géologie et leur morphologie, réagissent rapidement en l'absence de précipitations. Ces particularités augmentent notre fragilité. Par ailleurs, du fait de l’augmentation de la température de l’air, les besoins en eau des êtres vivants (plantes et animaux) augmentent. </w:t>
      </w:r>
    </w:p>
    <w:p w14:paraId="5F7A6672" w14:textId="086B734D" w:rsidR="00292802" w:rsidRDefault="00292802" w:rsidP="00292802">
      <w:pPr>
        <w:rPr>
          <w:b/>
          <w:bCs/>
        </w:rPr>
      </w:pPr>
      <w:r>
        <w:t>Face à ces tensions sur la ressource en eau, être en capacité d’avoir une vision des ressources dispo</w:t>
      </w:r>
      <w:proofErr w:type="gramStart"/>
      <w:r>
        <w:t>nibles</w:t>
      </w:r>
      <w:proofErr w:type="gramEnd"/>
      <w:r>
        <w:t xml:space="preserve">, des prélèvements et des consommations à l’échelle de la Bretagne est essentielle. Sans éléments chiffrés, il sera compliqué d’identifier là où nous devons agir en priorité pour économiser l’eau et préserver nos milieux, d’autant plus que le plan </w:t>
      </w:r>
      <w:proofErr w:type="gramStart"/>
      <w:r>
        <w:t>eau national</w:t>
      </w:r>
      <w:proofErr w:type="gramEnd"/>
      <w:r>
        <w:t xml:space="preserve"> demande une réduction de 10 % des prélèvements sur l’ensemble des bassins hydrographiques français d’ici 2030. </w:t>
      </w:r>
    </w:p>
    <w:p w14:paraId="51087F0D" w14:textId="2084E908" w:rsidR="00292802" w:rsidRDefault="00292802" w:rsidP="00292802">
      <w:pPr>
        <w:rPr>
          <w:b/>
          <w:bCs/>
        </w:rPr>
      </w:pPr>
      <w:r>
        <w:t xml:space="preserve">Les données récoltées dans le cadre de ce groupe de travail serviront également à alimenter le projet Ecom3 (A1-F2), en participant à </w:t>
      </w:r>
      <w:r w:rsidRPr="000A4114">
        <w:t xml:space="preserve">l’anticipation des périodes de « crises » sécheresse </w:t>
      </w:r>
      <w:r>
        <w:t xml:space="preserve">et en affinant la connaissance de </w:t>
      </w:r>
      <w:r w:rsidRPr="000A4114">
        <w:t>l’état de nos ressources</w:t>
      </w:r>
      <w:r>
        <w:t xml:space="preserve"> disponibles et exploitées. Ces éléments sont également indispensables pour </w:t>
      </w:r>
      <w:r w:rsidRPr="004434E1">
        <w:t xml:space="preserve">avoir une vision des potentialités d’accueil </w:t>
      </w:r>
      <w:r>
        <w:t xml:space="preserve">de population et </w:t>
      </w:r>
      <w:r w:rsidRPr="004434E1">
        <w:t>d’usages.</w:t>
      </w:r>
      <w:r>
        <w:t xml:space="preserve"> Sur l’eau, l’enjeu de solidarité est majeur : avoir des données permettant de connaître les différentes interconnexions entre les territoires sera nécessaire lorsque des tensions sur la ressource apparaîtront et que le jeu des interconnexions pour sécuriser l’approvisionnement en eau potable sera crucial. Grâce à cela, le travail alimentera également le groupe de travail sur l’eau et l’aménagement (A5-F1), qui doit accompagner les porteurs de SCOT dans la définition de leur capacité d’accueil, conformément à la règle II-5 du SRADDET.</w:t>
      </w:r>
      <w:r>
        <w:rPr>
          <w:b/>
          <w:bCs/>
        </w:rPr>
        <w:t xml:space="preserve"> </w:t>
      </w:r>
      <w:r>
        <w:t xml:space="preserve">Le groupe de travail sur les données joue donc un rôle central pour plusieurs actions du Plan breton de résilience pour l’eau.  </w:t>
      </w:r>
    </w:p>
    <w:p w14:paraId="1E9CBD03" w14:textId="6E9BE24D" w:rsidR="00292802" w:rsidRPr="00292802" w:rsidRDefault="00292802" w:rsidP="00292802">
      <w:pPr>
        <w:rPr>
          <w:b/>
          <w:bCs/>
        </w:rPr>
      </w:pPr>
      <w:r w:rsidRPr="00187375">
        <w:t xml:space="preserve">Aujourd’hui, il existe </w:t>
      </w:r>
      <w:r>
        <w:t>diverses</w:t>
      </w:r>
      <w:r w:rsidRPr="00187375">
        <w:t xml:space="preserve"> informations sur les prélèvements et les consommations en Bretagne.</w:t>
      </w:r>
      <w:r>
        <w:rPr>
          <w:b/>
          <w:bCs/>
        </w:rPr>
        <w:t xml:space="preserve"> </w:t>
      </w:r>
      <w:r>
        <w:t>L</w:t>
      </w:r>
      <w:r w:rsidRPr="00187375">
        <w:t xml:space="preserve">a première édition des Chiffres clés de l’eau en Bretagne a été publiée en 2022. Cette étude, produite par l’Observatoire de l’Environnement en Bretagne (OEB), synthétise les éléments de connaissances disponibles à l’échelle régionale. Basée essentiellement sur des données 2020, elle apporte un éclairage précieux à tous les acteurs de l’eau désireux de connaître l’état des milieux aquatiques en Bretagne (aspect quantitatif et qualitatif), la ressource en eau disponible et l’évolution des consommations d’eau. </w:t>
      </w:r>
      <w:r>
        <w:t>L’étude</w:t>
      </w:r>
      <w:r w:rsidRPr="00187375">
        <w:t xml:space="preserve"> est </w:t>
      </w:r>
      <w:r w:rsidRPr="00292802">
        <w:rPr>
          <w:rFonts w:cs="Arial"/>
        </w:rPr>
        <w:t xml:space="preserve">consultable </w:t>
      </w:r>
      <w:hyperlink r:id="rId9" w:history="1">
        <w:r w:rsidRPr="00292802">
          <w:rPr>
            <w:rStyle w:val="Lienhypertexte"/>
            <w:rFonts w:cs="Arial"/>
          </w:rPr>
          <w:t>sur le site de l’OEB</w:t>
        </w:r>
      </w:hyperlink>
      <w:r w:rsidRPr="00292802">
        <w:rPr>
          <w:rFonts w:cs="Arial"/>
        </w:rPr>
        <w:t>.</w:t>
      </w:r>
    </w:p>
    <w:p w14:paraId="7E0BE49E" w14:textId="77777777" w:rsidR="00292802" w:rsidRDefault="00292802" w:rsidP="00292802">
      <w:pPr>
        <w:rPr>
          <w:b/>
          <w:bCs/>
        </w:rPr>
      </w:pPr>
      <w:r>
        <w:lastRenderedPageBreak/>
        <w:t>La DREAL Bretagne a conduit la réalisation d’une étude régionale sur la gestion quantitative de l’eau en Bretagne visant notamment à analyser la pression de prélèvement et définir les volumes disponibles. Les rapports et atlas cartographiques de cette étude, ont été diffusés fin décembre 2021. Ils permettent de cibler des territoires présentant des tensions plus ou moins fortes en termes de volumes disponibles en étiage et de volumes restants en hiver.</w:t>
      </w:r>
    </w:p>
    <w:p w14:paraId="294E7B02" w14:textId="77777777" w:rsidR="00292802" w:rsidRDefault="00292802" w:rsidP="00292802">
      <w:pPr>
        <w:rPr>
          <w:b/>
          <w:bCs/>
        </w:rPr>
      </w:pPr>
      <w:r>
        <w:t>En addition de cette étude régionale, plusieurs SAGE bretons se sont lancés dans des études HMUC – Hydrologie Milieux Usages Climat, nécessitant à l’échelle locale de collecter de la donnée relative aux usages de l’eau passés et actuels et de dessiner des scénarios prospectifs de l’évolution de ces usages.</w:t>
      </w:r>
    </w:p>
    <w:p w14:paraId="05DB7A49" w14:textId="25EC8A2F" w:rsidR="00292802" w:rsidRDefault="00292802" w:rsidP="00292802">
      <w:pPr>
        <w:rPr>
          <w:b/>
          <w:bCs/>
        </w:rPr>
      </w:pPr>
      <w:r>
        <w:t xml:space="preserve">Citons enfin, le projet « de l’eau pour demain », initié en 2021 par les syndicats départementaux d’eau potable du Morbihan (Eau du Morbihan), des Côtes d’Armor (le SDAEP22) et de l’Ille et Vilaine (SMG </w:t>
      </w:r>
      <w:proofErr w:type="spellStart"/>
      <w:r>
        <w:t>eau</w:t>
      </w:r>
      <w:proofErr w:type="spellEnd"/>
      <w:r>
        <w:t xml:space="preserve"> 35) ainsi que par le Département du Finistère et le BRGM. Ce projet a eu pour objectif de faire un état des lieux </w:t>
      </w:r>
      <w:r w:rsidRPr="00AD098A">
        <w:t>des consommations d’eau en Bretagne, de mieux comprendre les méthodes de gestion et d’adaptation des producteurs d’eau en période de crise, d’évaluer l’impact des épisodes de sécheresse sur la ressource en eau et de réfléchir à des solutions alternatives pour la production d’eau et le suivi des ressources actuellement exploitées.</w:t>
      </w:r>
    </w:p>
    <w:p w14:paraId="37703FB8" w14:textId="3F5AE862" w:rsidR="00292802" w:rsidRPr="00292802" w:rsidRDefault="00292802" w:rsidP="00426CE7">
      <w:pPr>
        <w:rPr>
          <w:b/>
        </w:rPr>
      </w:pPr>
      <w:r>
        <w:t>I</w:t>
      </w:r>
      <w:r w:rsidRPr="00875F94">
        <w:t>l est cependant nécessaire de poursuivre l’acquisition et le partage des données sur les ressources disponibles, les consommations et les prélèvements en Bretagne</w:t>
      </w:r>
      <w:r w:rsidR="00CE1D54">
        <w:t>, au bénéfice de la décision et de l’action publique</w:t>
      </w:r>
      <w:r>
        <w:t> ; en effet, les chiffres peuvent varier et doivent être expliqués. La donnée est un objet complexe à manipuler et à diffuser. Certaines données sont également manquantes pour établir un diagnostic complet à l’échelle régionale et aux mailles de territoire utiles pour l’action (EPCI, BV, SAGE…). Il y a notamment un enjeu sur la connaissance des forages privés.</w:t>
      </w:r>
    </w:p>
    <w:p w14:paraId="7671C3E8" w14:textId="312BEAB0" w:rsidR="00426CE7" w:rsidRDefault="00D11672" w:rsidP="00D11672">
      <w:pPr>
        <w:pStyle w:val="Titre1"/>
      </w:pPr>
      <w:r>
        <w:t>Objectifs</w:t>
      </w:r>
    </w:p>
    <w:p w14:paraId="55F5570F" w14:textId="686CB177" w:rsidR="00560666" w:rsidRDefault="00292802" w:rsidP="00292802">
      <w:pPr>
        <w:rPr>
          <w:lang w:eastAsia="fr-FR"/>
        </w:rPr>
      </w:pPr>
      <w:r w:rsidRPr="00C556B1">
        <w:rPr>
          <w:lang w:eastAsia="fr-FR"/>
        </w:rPr>
        <w:t>L’objectif principal de cette action repose sur l’approfondissement de la connaissance et la mise en commun des données relatives à la ressource</w:t>
      </w:r>
      <w:r w:rsidR="00CE1D54">
        <w:rPr>
          <w:lang w:eastAsia="fr-FR"/>
        </w:rPr>
        <w:t xml:space="preserve"> en eau</w:t>
      </w:r>
      <w:r w:rsidRPr="00C556B1">
        <w:rPr>
          <w:lang w:eastAsia="fr-FR"/>
        </w:rPr>
        <w:t>, aux prélèvements et aux consommations d’eau</w:t>
      </w:r>
      <w:r w:rsidR="000851E2">
        <w:rPr>
          <w:lang w:eastAsia="fr-FR"/>
        </w:rPr>
        <w:t xml:space="preserve"> en général (</w:t>
      </w:r>
      <w:r w:rsidR="000851E2" w:rsidRPr="004D078C">
        <w:rPr>
          <w:lang w:eastAsia="fr-FR"/>
        </w:rPr>
        <w:t xml:space="preserve">pas </w:t>
      </w:r>
      <w:r w:rsidR="00C02A19" w:rsidRPr="004D078C">
        <w:rPr>
          <w:lang w:eastAsia="fr-FR"/>
        </w:rPr>
        <w:t>uniquement</w:t>
      </w:r>
      <w:r w:rsidR="000851E2">
        <w:rPr>
          <w:lang w:eastAsia="fr-FR"/>
        </w:rPr>
        <w:t xml:space="preserve"> eau potable)</w:t>
      </w:r>
      <w:r w:rsidR="00CE1D54">
        <w:rPr>
          <w:lang w:eastAsia="fr-FR"/>
        </w:rPr>
        <w:t>, afin d’appuyer :</w:t>
      </w:r>
    </w:p>
    <w:p w14:paraId="02617B88" w14:textId="1611AA42" w:rsidR="00CE1D54" w:rsidRDefault="00560666" w:rsidP="00560666">
      <w:pPr>
        <w:pStyle w:val="Paragraphedeliste"/>
        <w:numPr>
          <w:ilvl w:val="0"/>
          <w:numId w:val="19"/>
        </w:numPr>
        <w:rPr>
          <w:lang w:eastAsia="fr-FR"/>
        </w:rPr>
      </w:pPr>
      <w:r>
        <w:rPr>
          <w:lang w:eastAsia="fr-FR"/>
        </w:rPr>
        <w:t>La</w:t>
      </w:r>
      <w:r w:rsidR="00CE1D54">
        <w:rPr>
          <w:lang w:eastAsia="fr-FR"/>
        </w:rPr>
        <w:t xml:space="preserve"> définition d’objectifs et d’actions en matière de sobriété (en réponse à l’objectif de -10% de prélèvement fixé par le plan eau national),</w:t>
      </w:r>
    </w:p>
    <w:p w14:paraId="455D92C7" w14:textId="030632D5" w:rsidR="00CE1D54" w:rsidRDefault="00560666" w:rsidP="00560666">
      <w:pPr>
        <w:pStyle w:val="Paragraphedeliste"/>
        <w:numPr>
          <w:ilvl w:val="0"/>
          <w:numId w:val="19"/>
        </w:numPr>
        <w:rPr>
          <w:lang w:eastAsia="fr-FR"/>
        </w:rPr>
      </w:pPr>
      <w:r>
        <w:rPr>
          <w:lang w:eastAsia="fr-FR"/>
        </w:rPr>
        <w:t>L’identification</w:t>
      </w:r>
      <w:r w:rsidR="00CE1D54">
        <w:rPr>
          <w:lang w:eastAsia="fr-FR"/>
        </w:rPr>
        <w:t xml:space="preserve"> des capacités d’accueil de notre territoire, dans une optique d’aménagement durable au regard de la ressource disponible et des impacts du changement climatique (en déclinaison de la règle II-5 du SRADDET)</w:t>
      </w:r>
      <w:r w:rsidR="005C7F37">
        <w:rPr>
          <w:lang w:eastAsia="fr-FR"/>
        </w:rPr>
        <w:t>,</w:t>
      </w:r>
    </w:p>
    <w:p w14:paraId="639030CD" w14:textId="590BDD56" w:rsidR="005C7F37" w:rsidRDefault="00560666" w:rsidP="00560666">
      <w:pPr>
        <w:pStyle w:val="Paragraphedeliste"/>
        <w:numPr>
          <w:ilvl w:val="0"/>
          <w:numId w:val="19"/>
        </w:numPr>
        <w:rPr>
          <w:lang w:eastAsia="fr-FR"/>
        </w:rPr>
      </w:pPr>
      <w:r>
        <w:rPr>
          <w:lang w:eastAsia="fr-FR"/>
        </w:rPr>
        <w:t>L’anticipation</w:t>
      </w:r>
      <w:r w:rsidR="005C7F37">
        <w:rPr>
          <w:lang w:eastAsia="fr-FR"/>
        </w:rPr>
        <w:t xml:space="preserve"> des périodes de tension sur la ressource en eau,</w:t>
      </w:r>
    </w:p>
    <w:p w14:paraId="6E408E95" w14:textId="588BDBC9" w:rsidR="00CE1D54" w:rsidRDefault="00560666" w:rsidP="00560666">
      <w:pPr>
        <w:pStyle w:val="Paragraphedeliste"/>
        <w:numPr>
          <w:ilvl w:val="0"/>
          <w:numId w:val="19"/>
        </w:numPr>
        <w:rPr>
          <w:lang w:eastAsia="fr-FR"/>
        </w:rPr>
      </w:pPr>
      <w:r>
        <w:rPr>
          <w:lang w:eastAsia="fr-FR"/>
        </w:rPr>
        <w:t>La</w:t>
      </w:r>
      <w:r w:rsidR="00CE1D54">
        <w:rPr>
          <w:lang w:eastAsia="fr-FR"/>
        </w:rPr>
        <w:t xml:space="preserve"> préservation des solidarités existantes en matière d’approvisionnement en eau potable, grâce à la visualisation de la dimension finie de la ressource en eau et de son nécessaire partage</w:t>
      </w:r>
      <w:r w:rsidR="005C7F37">
        <w:rPr>
          <w:lang w:eastAsia="fr-FR"/>
        </w:rPr>
        <w:t>.</w:t>
      </w:r>
    </w:p>
    <w:p w14:paraId="6516928C" w14:textId="46D4C39B" w:rsidR="00292802" w:rsidRDefault="00292802" w:rsidP="00292802">
      <w:pPr>
        <w:rPr>
          <w:lang w:eastAsia="fr-FR"/>
        </w:rPr>
      </w:pPr>
      <w:r w:rsidRPr="00C556B1">
        <w:rPr>
          <w:lang w:eastAsia="fr-FR"/>
        </w:rPr>
        <w:t xml:space="preserve">Cela induit </w:t>
      </w:r>
      <w:r w:rsidR="00830925">
        <w:rPr>
          <w:lang w:eastAsia="fr-FR"/>
        </w:rPr>
        <w:t>2</w:t>
      </w:r>
      <w:r w:rsidR="00830925" w:rsidRPr="00C556B1">
        <w:rPr>
          <w:lang w:eastAsia="fr-FR"/>
        </w:rPr>
        <w:t xml:space="preserve"> </w:t>
      </w:r>
      <w:r w:rsidRPr="00C556B1">
        <w:rPr>
          <w:lang w:eastAsia="fr-FR"/>
        </w:rPr>
        <w:t>sous-objectifs :</w:t>
      </w:r>
    </w:p>
    <w:p w14:paraId="2E00E30C" w14:textId="151559B4" w:rsidR="00292802" w:rsidRDefault="00292802" w:rsidP="00292802">
      <w:pPr>
        <w:pStyle w:val="Paragraphedeliste"/>
        <w:numPr>
          <w:ilvl w:val="0"/>
          <w:numId w:val="6"/>
        </w:numPr>
        <w:jc w:val="left"/>
        <w:rPr>
          <w:lang w:eastAsia="fr-FR"/>
        </w:rPr>
      </w:pPr>
      <w:r w:rsidRPr="00C556B1">
        <w:rPr>
          <w:lang w:eastAsia="fr-FR"/>
        </w:rPr>
        <w:t xml:space="preserve">Collecter, organiser et sécuriser la donnée bretonne sur </w:t>
      </w:r>
      <w:r w:rsidR="005C7F37">
        <w:rPr>
          <w:lang w:eastAsia="fr-FR"/>
        </w:rPr>
        <w:t xml:space="preserve">la ressource, </w:t>
      </w:r>
      <w:r w:rsidRPr="00C556B1">
        <w:rPr>
          <w:lang w:eastAsia="fr-FR"/>
        </w:rPr>
        <w:t>les prélèvements et les consommations d’eau, afin de connaître</w:t>
      </w:r>
      <w:r w:rsidR="004D7698">
        <w:rPr>
          <w:lang w:eastAsia="fr-FR"/>
        </w:rPr>
        <w:t xml:space="preserve"> </w:t>
      </w:r>
      <w:r w:rsidR="004D7698" w:rsidRPr="004D078C">
        <w:rPr>
          <w:lang w:eastAsia="fr-FR"/>
        </w:rPr>
        <w:t>ou d’estimer</w:t>
      </w:r>
      <w:r w:rsidRPr="00C556B1">
        <w:rPr>
          <w:lang w:eastAsia="fr-FR"/>
        </w:rPr>
        <w:t xml:space="preserve"> les prélèvements et les consommations mais aussi les flux d’eau entre territoires, à l’échelle régionale</w:t>
      </w:r>
      <w:r>
        <w:rPr>
          <w:lang w:eastAsia="fr-FR"/>
        </w:rPr>
        <w:t>, suivant différentes mailles de territoire (SAGE, SCOT, EPCI)</w:t>
      </w:r>
      <w:r w:rsidR="004D7698">
        <w:rPr>
          <w:lang w:eastAsia="fr-FR"/>
        </w:rPr>
        <w:t xml:space="preserve"> </w:t>
      </w:r>
      <w:r w:rsidR="004D7698" w:rsidRPr="004D078C">
        <w:rPr>
          <w:lang w:eastAsia="fr-FR"/>
        </w:rPr>
        <w:t>et selon les possibilités techniques</w:t>
      </w:r>
      <w:r w:rsidRPr="00C556B1">
        <w:rPr>
          <w:lang w:eastAsia="fr-FR"/>
        </w:rPr>
        <w:t xml:space="preserve"> ;</w:t>
      </w:r>
    </w:p>
    <w:p w14:paraId="73130332" w14:textId="4E8EA6B6" w:rsidR="00292802" w:rsidRPr="00C556B1" w:rsidRDefault="00292802" w:rsidP="00292802">
      <w:pPr>
        <w:pStyle w:val="Paragraphedeliste"/>
        <w:numPr>
          <w:ilvl w:val="0"/>
          <w:numId w:val="6"/>
        </w:numPr>
        <w:jc w:val="left"/>
        <w:rPr>
          <w:lang w:eastAsia="fr-FR"/>
        </w:rPr>
      </w:pPr>
      <w:r w:rsidRPr="00C556B1">
        <w:rPr>
          <w:lang w:eastAsia="fr-FR"/>
        </w:rPr>
        <w:t xml:space="preserve">Inclure </w:t>
      </w:r>
      <w:r w:rsidR="00014A43" w:rsidRPr="004D078C">
        <w:rPr>
          <w:lang w:eastAsia="fr-FR"/>
        </w:rPr>
        <w:t xml:space="preserve">tous les </w:t>
      </w:r>
      <w:r w:rsidRPr="004D078C">
        <w:rPr>
          <w:lang w:eastAsia="fr-FR"/>
        </w:rPr>
        <w:t>partenaires</w:t>
      </w:r>
      <w:r w:rsidR="008210F5" w:rsidRPr="004D078C">
        <w:rPr>
          <w:lang w:eastAsia="fr-FR"/>
        </w:rPr>
        <w:t xml:space="preserve"> et toutes structures productrices de données,</w:t>
      </w:r>
      <w:r w:rsidR="008210F5">
        <w:rPr>
          <w:lang w:eastAsia="fr-FR"/>
        </w:rPr>
        <w:t xml:space="preserve"> </w:t>
      </w:r>
      <w:r w:rsidRPr="00C556B1">
        <w:rPr>
          <w:lang w:eastAsia="fr-FR"/>
        </w:rPr>
        <w:t>et pérenniser le partage de connaissances</w:t>
      </w:r>
      <w:r w:rsidR="004D078C">
        <w:rPr>
          <w:lang w:eastAsia="fr-FR"/>
        </w:rPr>
        <w:t>.</w:t>
      </w:r>
    </w:p>
    <w:p w14:paraId="3E97565B" w14:textId="3787BFE3" w:rsidR="009A316F" w:rsidRDefault="00D11672" w:rsidP="00D11672">
      <w:pPr>
        <w:pStyle w:val="Titre1"/>
      </w:pPr>
      <w:r>
        <w:t>Descriptif de l’action</w:t>
      </w:r>
    </w:p>
    <w:p w14:paraId="41DBCF7D" w14:textId="77777777" w:rsidR="00292802" w:rsidRPr="00875F94" w:rsidRDefault="00292802" w:rsidP="00292802">
      <w:pPr>
        <w:rPr>
          <w:b/>
          <w:bCs/>
        </w:rPr>
      </w:pPr>
      <w:r w:rsidRPr="00875F94">
        <w:t>Cette action visera à produire un état des lieux détaillé sur les données manquantes, et celles à disposition sur le territoire breton. Pour ce faire, plusieurs phases seront mises en œuvre :</w:t>
      </w:r>
    </w:p>
    <w:p w14:paraId="28B3B8BE" w14:textId="519E8615" w:rsidR="00292802" w:rsidRPr="006636B2" w:rsidRDefault="00292802" w:rsidP="00292802">
      <w:pPr>
        <w:pStyle w:val="Paragraphedeliste"/>
        <w:numPr>
          <w:ilvl w:val="0"/>
          <w:numId w:val="8"/>
        </w:numPr>
        <w:jc w:val="left"/>
        <w:rPr>
          <w:b/>
          <w:bCs/>
        </w:rPr>
      </w:pPr>
      <w:r w:rsidRPr="00875F94">
        <w:t xml:space="preserve">Identification et sollicitation de l’ensemble des partenaires bretons susceptibles d’être en capacité de fournir des données relatives aux ressources disponibles, aux prélèvements et aux consommations d’eau. La priorité repose sur l’inclusion des </w:t>
      </w:r>
      <w:r w:rsidR="005D16A2" w:rsidRPr="004D078C">
        <w:t>services</w:t>
      </w:r>
      <w:r w:rsidR="005D16A2">
        <w:t xml:space="preserve"> </w:t>
      </w:r>
      <w:r w:rsidRPr="00875F94">
        <w:t>d’eau potable bretons dans cette liste de partenaires</w:t>
      </w:r>
      <w:r>
        <w:t> ;</w:t>
      </w:r>
    </w:p>
    <w:p w14:paraId="0584BA29" w14:textId="5DE3040E" w:rsidR="006636B2" w:rsidRPr="00830925" w:rsidRDefault="006636B2" w:rsidP="00292802">
      <w:pPr>
        <w:pStyle w:val="Paragraphedeliste"/>
        <w:numPr>
          <w:ilvl w:val="0"/>
          <w:numId w:val="8"/>
        </w:numPr>
        <w:jc w:val="left"/>
        <w:rPr>
          <w:b/>
          <w:bCs/>
        </w:rPr>
      </w:pPr>
      <w:r>
        <w:lastRenderedPageBreak/>
        <w:t>Recensement des questions soulevées par les membres du GT</w:t>
      </w:r>
      <w:r w:rsidR="005C7F37">
        <w:t>, en écho aux objectifs présentés ci-dessus</w:t>
      </w:r>
    </w:p>
    <w:p w14:paraId="3BC245E8" w14:textId="6451BE7B" w:rsidR="005C7F37" w:rsidRPr="00292802" w:rsidRDefault="005C7F37" w:rsidP="00292802">
      <w:pPr>
        <w:pStyle w:val="Paragraphedeliste"/>
        <w:numPr>
          <w:ilvl w:val="0"/>
          <w:numId w:val="8"/>
        </w:numPr>
        <w:jc w:val="left"/>
        <w:rPr>
          <w:b/>
          <w:bCs/>
        </w:rPr>
      </w:pPr>
      <w:r>
        <w:t>Choix de questions et d’indicateurs pertinents</w:t>
      </w:r>
    </w:p>
    <w:p w14:paraId="11C30BB2" w14:textId="25ED56A0" w:rsidR="00292802" w:rsidRPr="00292802" w:rsidRDefault="00292802" w:rsidP="00292802">
      <w:pPr>
        <w:pStyle w:val="Paragraphedeliste"/>
        <w:numPr>
          <w:ilvl w:val="0"/>
          <w:numId w:val="8"/>
        </w:numPr>
        <w:jc w:val="left"/>
        <w:rPr>
          <w:b/>
          <w:bCs/>
        </w:rPr>
      </w:pPr>
      <w:r w:rsidRPr="00875F94">
        <w:t>Recensement des données disponibles et des besoins identifiés sur le territoire</w:t>
      </w:r>
      <w:r>
        <w:t> ;</w:t>
      </w:r>
    </w:p>
    <w:p w14:paraId="02A467C3" w14:textId="52580416" w:rsidR="00292802" w:rsidRPr="00292802" w:rsidRDefault="00292802" w:rsidP="00292802">
      <w:pPr>
        <w:pStyle w:val="Paragraphedeliste"/>
        <w:numPr>
          <w:ilvl w:val="0"/>
          <w:numId w:val="8"/>
        </w:numPr>
        <w:jc w:val="left"/>
        <w:rPr>
          <w:b/>
          <w:bCs/>
        </w:rPr>
      </w:pPr>
      <w:r w:rsidRPr="00875F94">
        <w:t>Identification des freins et des leviers à mobiliser pour le partage des connaissances</w:t>
      </w:r>
      <w:r>
        <w:t> ;</w:t>
      </w:r>
    </w:p>
    <w:p w14:paraId="0936991B" w14:textId="77777777" w:rsidR="00454AAA" w:rsidRPr="004D078C" w:rsidRDefault="005D16A2" w:rsidP="00292802">
      <w:pPr>
        <w:pStyle w:val="Paragraphedeliste"/>
        <w:numPr>
          <w:ilvl w:val="0"/>
          <w:numId w:val="8"/>
        </w:numPr>
        <w:jc w:val="left"/>
      </w:pPr>
      <w:r w:rsidRPr="004D078C">
        <w:t>Participer à mieux connaître les autres usages et d’en qualifier la donnée ;</w:t>
      </w:r>
    </w:p>
    <w:p w14:paraId="61C1CA71" w14:textId="316ED7D9" w:rsidR="005D16A2" w:rsidRPr="004D078C" w:rsidRDefault="00454AAA" w:rsidP="00292802">
      <w:pPr>
        <w:pStyle w:val="Paragraphedeliste"/>
        <w:numPr>
          <w:ilvl w:val="0"/>
          <w:numId w:val="8"/>
        </w:numPr>
        <w:jc w:val="left"/>
      </w:pPr>
      <w:r w:rsidRPr="004D078C">
        <w:t xml:space="preserve">Améliorer la remontée des données ; </w:t>
      </w:r>
      <w:r w:rsidR="005D16A2" w:rsidRPr="004D078C">
        <w:t xml:space="preserve"> </w:t>
      </w:r>
    </w:p>
    <w:p w14:paraId="782D4AE0" w14:textId="3DE2E64A" w:rsidR="00292802" w:rsidRPr="004D078C" w:rsidRDefault="00292802" w:rsidP="00292802">
      <w:pPr>
        <w:pStyle w:val="Paragraphedeliste"/>
        <w:numPr>
          <w:ilvl w:val="0"/>
          <w:numId w:val="8"/>
        </w:numPr>
        <w:jc w:val="left"/>
        <w:rPr>
          <w:b/>
          <w:bCs/>
        </w:rPr>
      </w:pPr>
      <w:r w:rsidRPr="004D078C">
        <w:t>Réception des données et consolidation dans une base de données commune</w:t>
      </w:r>
      <w:r w:rsidR="005D16A2" w:rsidRPr="004D078C">
        <w:t xml:space="preserve"> (l’objectif n’étant pas de faire doublon avec le national)</w:t>
      </w:r>
      <w:r w:rsidRPr="004D078C">
        <w:t> ;</w:t>
      </w:r>
    </w:p>
    <w:p w14:paraId="7C9E6591" w14:textId="79120861" w:rsidR="00292802" w:rsidRPr="004D078C" w:rsidRDefault="00292802" w:rsidP="00292802">
      <w:pPr>
        <w:pStyle w:val="Paragraphedeliste"/>
        <w:numPr>
          <w:ilvl w:val="0"/>
          <w:numId w:val="8"/>
        </w:numPr>
        <w:jc w:val="left"/>
        <w:rPr>
          <w:b/>
          <w:bCs/>
        </w:rPr>
      </w:pPr>
      <w:r w:rsidRPr="004D078C">
        <w:t>Recensement des données manquantes restantes sur le territoire.</w:t>
      </w:r>
    </w:p>
    <w:p w14:paraId="0688CDC6" w14:textId="60507E42" w:rsidR="00292802" w:rsidRPr="00875F94" w:rsidRDefault="00292802" w:rsidP="00292802">
      <w:pPr>
        <w:rPr>
          <w:b/>
          <w:bCs/>
        </w:rPr>
      </w:pPr>
      <w:r w:rsidRPr="004D078C">
        <w:t xml:space="preserve">L’action visera ensuite la valorisation des données : production </w:t>
      </w:r>
      <w:r w:rsidR="008210F5" w:rsidRPr="004D078C">
        <w:t xml:space="preserve">de </w:t>
      </w:r>
      <w:r w:rsidRPr="004D078C">
        <w:t>rapport</w:t>
      </w:r>
      <w:r w:rsidR="008210F5" w:rsidRPr="004D078C">
        <w:t>s</w:t>
      </w:r>
      <w:r>
        <w:t xml:space="preserve"> avec des éléments chiffrés et un atlas cartographique </w:t>
      </w:r>
      <w:r w:rsidRPr="00875F94">
        <w:t xml:space="preserve">à destination </w:t>
      </w:r>
      <w:r>
        <w:t xml:space="preserve">des </w:t>
      </w:r>
      <w:proofErr w:type="spellStart"/>
      <w:r>
        <w:t>élu.</w:t>
      </w:r>
      <w:proofErr w:type="gramStart"/>
      <w:r>
        <w:t>e.s</w:t>
      </w:r>
      <w:proofErr w:type="spellEnd"/>
      <w:proofErr w:type="gramEnd"/>
      <w:r w:rsidR="005C7F37">
        <w:t>, des services techniques des collectivités</w:t>
      </w:r>
      <w:r>
        <w:t xml:space="preserve"> et </w:t>
      </w:r>
      <w:r w:rsidRPr="00875F94">
        <w:t>du grand publi</w:t>
      </w:r>
      <w:r>
        <w:t>c.</w:t>
      </w:r>
    </w:p>
    <w:p w14:paraId="494ACCDE" w14:textId="77777777" w:rsidR="00292802" w:rsidRPr="000503AA" w:rsidRDefault="00292802" w:rsidP="00292802">
      <w:pPr>
        <w:rPr>
          <w:rFonts w:asciiTheme="minorHAnsi" w:hAnsiTheme="minorHAnsi"/>
          <w:b/>
          <w:caps/>
          <w:noProof/>
          <w:sz w:val="24"/>
          <w:lang w:eastAsia="fr-FR"/>
        </w:rPr>
      </w:pPr>
      <w:r w:rsidRPr="00875F94">
        <w:t>Cette action a pour vocation d’être pérenne dans le temps, et pourra servir à alimenter l’outil Ecom</w:t>
      </w:r>
      <w:r w:rsidRPr="00875F94">
        <w:rPr>
          <w:vertAlign w:val="superscript"/>
        </w:rPr>
        <w:t>3</w:t>
      </w:r>
      <w:r w:rsidRPr="00875F94">
        <w:t xml:space="preserve">. En effet, le développement de ce dispositif de gestion anticipée pour l’approvisionnement en eau et d’informations auprès des usagers sur les </w:t>
      </w:r>
      <w:proofErr w:type="spellStart"/>
      <w:r w:rsidRPr="00875F94">
        <w:t>éco-gestes</w:t>
      </w:r>
      <w:proofErr w:type="spellEnd"/>
      <w:r w:rsidRPr="00875F94">
        <w:t xml:space="preserve"> à adopter n’est possible que si suffisamment de données </w:t>
      </w:r>
      <w:r>
        <w:t>sont</w:t>
      </w:r>
      <w:r w:rsidRPr="00875F94">
        <w:t xml:space="preserve"> </w:t>
      </w:r>
      <w:r>
        <w:t>récoltées en continu</w:t>
      </w:r>
      <w:r w:rsidRPr="00875F94">
        <w:t xml:space="preserve"> sur le territoire breton.</w:t>
      </w:r>
    </w:p>
    <w:p w14:paraId="65BC79CF" w14:textId="77A62EF0" w:rsidR="00D11672" w:rsidRDefault="00F811CA" w:rsidP="00F811CA">
      <w:pPr>
        <w:pStyle w:val="Titre1"/>
      </w:pPr>
      <w:r>
        <w:t>Acteurs impliqués</w:t>
      </w:r>
    </w:p>
    <w:p w14:paraId="04B4F4D1" w14:textId="77777777" w:rsidR="00F811CA" w:rsidRDefault="00F811CA" w:rsidP="00F811CA">
      <w:pPr>
        <w:pStyle w:val="Rang3"/>
        <w:ind w:right="142"/>
        <w:rPr>
          <w:rFonts w:asciiTheme="minorHAnsi" w:hAnsiTheme="minorHAnsi"/>
          <w:bCs w:val="0"/>
          <w:caps/>
          <w:noProof/>
          <w:color w:val="0070C0"/>
          <w:szCs w:val="24"/>
          <w:u w:val="none"/>
          <w:lang w:eastAsia="fr-FR"/>
        </w:rPr>
        <w:sectPr w:rsidR="00F811CA">
          <w:pgSz w:w="11906" w:h="16838"/>
          <w:pgMar w:top="1417" w:right="1417" w:bottom="1417" w:left="1417" w:header="708" w:footer="708" w:gutter="0"/>
          <w:cols w:space="708"/>
          <w:docGrid w:linePitch="360"/>
        </w:sectPr>
      </w:pPr>
    </w:p>
    <w:p w14:paraId="5C3AB4DD" w14:textId="0D7C21A2" w:rsidR="00292802" w:rsidRDefault="00292802" w:rsidP="00292802">
      <w:pPr>
        <w:pStyle w:val="Titre2"/>
        <w:rPr>
          <w:bCs/>
          <w:noProof/>
          <w:lang w:eastAsia="fr-FR"/>
        </w:rPr>
      </w:pPr>
      <w:r w:rsidRPr="00D936EE">
        <w:rPr>
          <w:noProof/>
          <w:lang w:eastAsia="fr-FR"/>
        </w:rPr>
        <w:t>Co-pilotes</w:t>
      </w:r>
    </w:p>
    <w:p w14:paraId="5BE33A09" w14:textId="245526B7" w:rsidR="00292802" w:rsidRPr="00804ABC" w:rsidRDefault="00292802" w:rsidP="00292802">
      <w:pPr>
        <w:rPr>
          <w:b/>
          <w:bCs/>
          <w:noProof/>
          <w:lang w:eastAsia="fr-FR"/>
        </w:rPr>
      </w:pPr>
      <w:r w:rsidRPr="00804ABC">
        <w:rPr>
          <w:noProof/>
          <w:lang w:eastAsia="fr-FR"/>
        </w:rPr>
        <w:t>Région Bretagn</w:t>
      </w:r>
      <w:r>
        <w:rPr>
          <w:noProof/>
          <w:lang w:eastAsia="fr-FR"/>
        </w:rPr>
        <w:t>e</w:t>
      </w:r>
      <w:r w:rsidRPr="00804ABC">
        <w:rPr>
          <w:noProof/>
          <w:lang w:eastAsia="fr-FR"/>
        </w:rPr>
        <w:t xml:space="preserve">, </w:t>
      </w:r>
      <w:r>
        <w:rPr>
          <w:noProof/>
          <w:lang w:eastAsia="fr-FR"/>
        </w:rPr>
        <w:t>DREAL Bretagne</w:t>
      </w:r>
    </w:p>
    <w:p w14:paraId="37365119" w14:textId="66D56A1F" w:rsidR="00292802" w:rsidRDefault="00292802" w:rsidP="00292802">
      <w:pPr>
        <w:pStyle w:val="Titre2"/>
        <w:rPr>
          <w:bCs/>
          <w:noProof/>
          <w:lang w:eastAsia="fr-FR"/>
        </w:rPr>
      </w:pPr>
      <w:r w:rsidRPr="00D936EE">
        <w:rPr>
          <w:noProof/>
          <w:lang w:eastAsia="fr-FR"/>
        </w:rPr>
        <w:t>Membres du groupe</w:t>
      </w:r>
    </w:p>
    <w:p w14:paraId="1AF3E37A" w14:textId="2313143A" w:rsidR="00292802" w:rsidRPr="00292802" w:rsidRDefault="00292802" w:rsidP="00292802">
      <w:pPr>
        <w:rPr>
          <w:b/>
          <w:bCs/>
          <w:noProof/>
          <w:lang w:eastAsia="fr-FR"/>
        </w:rPr>
        <w:sectPr w:rsidR="00292802" w:rsidRPr="00292802" w:rsidSect="00F811CA">
          <w:type w:val="continuous"/>
          <w:pgSz w:w="11906" w:h="16838"/>
          <w:pgMar w:top="1417" w:right="1417" w:bottom="1417" w:left="1417" w:header="708" w:footer="708" w:gutter="0"/>
          <w:cols w:space="708"/>
          <w:docGrid w:linePitch="360"/>
        </w:sectPr>
      </w:pPr>
      <w:bookmarkStart w:id="2" w:name="_Hlk164765279"/>
      <w:r>
        <w:rPr>
          <w:noProof/>
          <w:lang w:eastAsia="fr-FR"/>
        </w:rPr>
        <w:t xml:space="preserve">Agence de l’eau Loire-Bretagne, Observatoire de l’Environnement en Bretagne, DDTM 35, </w:t>
      </w:r>
      <w:r w:rsidRPr="00306671">
        <w:rPr>
          <w:noProof/>
          <w:lang w:eastAsia="fr-FR"/>
        </w:rPr>
        <w:t>ATBVB, Leff Armor Communauté, Saint Malo agglomération, Lorient Agglomération, Concarneau Cornouaille Agglomération – SAGE Sud Cornouaille, Eaux et Rivières de Bretagne, Union Groupe Producteur Viande Bovine, Assemblée Permanente des Présidents de C</w:t>
      </w:r>
      <w:r>
        <w:rPr>
          <w:noProof/>
          <w:lang w:eastAsia="fr-FR"/>
        </w:rPr>
        <w:t>LE</w:t>
      </w:r>
      <w:r w:rsidRPr="00306671">
        <w:rPr>
          <w:noProof/>
          <w:lang w:eastAsia="fr-FR"/>
        </w:rPr>
        <w:t xml:space="preserve"> de Bretagne, Fédération Nationale des Syndicats d’Exploitants Agricoles, Brest métropole, Vitré Communauté, </w:t>
      </w:r>
      <w:r>
        <w:rPr>
          <w:noProof/>
          <w:lang w:eastAsia="fr-FR"/>
        </w:rPr>
        <w:t xml:space="preserve">Creseb, </w:t>
      </w:r>
      <w:r w:rsidRPr="00306671">
        <w:rPr>
          <w:noProof/>
          <w:lang w:eastAsia="fr-FR"/>
        </w:rPr>
        <w:t>ARS, DRAAF, C</w:t>
      </w:r>
      <w:r>
        <w:rPr>
          <w:noProof/>
          <w:lang w:eastAsia="fr-FR"/>
        </w:rPr>
        <w:t xml:space="preserve">onseils départementaux, Syndicats d’eau départementaux, Chambre régionale d’agriculture, CCI, Eau du </w:t>
      </w:r>
      <w:r w:rsidRPr="006F5F56">
        <w:rPr>
          <w:noProof/>
          <w:lang w:eastAsia="fr-FR"/>
        </w:rPr>
        <w:t>bassin rennais, DDTM 22, OFB</w:t>
      </w:r>
      <w:bookmarkEnd w:id="2"/>
      <w:r>
        <w:rPr>
          <w:noProof/>
          <w:lang w:eastAsia="fr-FR"/>
        </w:rPr>
        <w:t>.</w:t>
      </w:r>
    </w:p>
    <w:p w14:paraId="16CFFEF8" w14:textId="4B59D8EF" w:rsidR="00F811CA" w:rsidRDefault="00F811CA" w:rsidP="00F811CA">
      <w:pPr>
        <w:pStyle w:val="Titre1"/>
        <w:rPr>
          <w:bCs/>
          <w:noProof/>
          <w:lang w:eastAsia="fr-FR"/>
        </w:rPr>
      </w:pPr>
      <w:r>
        <w:rPr>
          <w:noProof/>
          <w:lang w:eastAsia="fr-FR"/>
        </w:rPr>
        <w:t>L</w:t>
      </w:r>
      <w:r w:rsidRPr="00D936EE">
        <w:rPr>
          <w:noProof/>
          <w:lang w:eastAsia="fr-FR"/>
        </w:rPr>
        <w:t>ivrables</w:t>
      </w:r>
    </w:p>
    <w:p w14:paraId="4AAB9664" w14:textId="77777777" w:rsidR="00292802" w:rsidRPr="00BE32CD" w:rsidRDefault="00292802" w:rsidP="00292802">
      <w:r w:rsidRPr="00121DFA">
        <w:t xml:space="preserve">D’ici la </w:t>
      </w:r>
      <w:r w:rsidRPr="00292802">
        <w:rPr>
          <w:b/>
          <w:bCs/>
        </w:rPr>
        <w:t>fin du premier semestre 2024</w:t>
      </w:r>
      <w:r w:rsidRPr="00121DFA">
        <w:t> :</w:t>
      </w:r>
    </w:p>
    <w:p w14:paraId="33B56A32" w14:textId="40F12FDB" w:rsidR="00292802" w:rsidRPr="00292802" w:rsidRDefault="00292802" w:rsidP="00292802">
      <w:pPr>
        <w:pStyle w:val="Paragraphedeliste"/>
        <w:numPr>
          <w:ilvl w:val="0"/>
          <w:numId w:val="12"/>
        </w:numPr>
        <w:rPr>
          <w:b/>
          <w:bCs/>
        </w:rPr>
      </w:pPr>
      <w:r w:rsidRPr="00121DFA">
        <w:t>Identification des partenaires potentiels et demande de participation à la première réunion du GT ;</w:t>
      </w:r>
    </w:p>
    <w:p w14:paraId="51B7E145" w14:textId="46CC2F05" w:rsidR="00292802" w:rsidRPr="00292802" w:rsidRDefault="00292802" w:rsidP="00292802">
      <w:pPr>
        <w:pStyle w:val="Paragraphedeliste"/>
        <w:numPr>
          <w:ilvl w:val="0"/>
          <w:numId w:val="12"/>
        </w:numPr>
        <w:rPr>
          <w:b/>
          <w:bCs/>
        </w:rPr>
      </w:pPr>
      <w:r>
        <w:t>Identification des données à recueillir idéalement, en fonction des objectifs et sous-objectifs précisés en GT ;</w:t>
      </w:r>
    </w:p>
    <w:p w14:paraId="1649FD7E" w14:textId="7D7D46A2" w:rsidR="00292802" w:rsidRPr="00292802" w:rsidRDefault="00292802" w:rsidP="00292802">
      <w:pPr>
        <w:pStyle w:val="Paragraphedeliste"/>
        <w:numPr>
          <w:ilvl w:val="0"/>
          <w:numId w:val="12"/>
        </w:numPr>
        <w:rPr>
          <w:b/>
          <w:bCs/>
        </w:rPr>
      </w:pPr>
      <w:r w:rsidRPr="00121DFA">
        <w:t>Identification des enjeux, des leviers à mobiliser pour récupérer les données ;</w:t>
      </w:r>
    </w:p>
    <w:p w14:paraId="2F8E940E" w14:textId="5608E001" w:rsidR="00292802" w:rsidRPr="00292802" w:rsidRDefault="00292802" w:rsidP="00292802">
      <w:pPr>
        <w:pStyle w:val="Paragraphedeliste"/>
        <w:numPr>
          <w:ilvl w:val="0"/>
          <w:numId w:val="12"/>
        </w:numPr>
        <w:rPr>
          <w:b/>
          <w:bCs/>
        </w:rPr>
      </w:pPr>
      <w:r w:rsidRPr="00121DFA">
        <w:t>Lancement de la première réunion de travail / préparation du GT (février 2024)</w:t>
      </w:r>
      <w:r>
        <w:t> ;</w:t>
      </w:r>
    </w:p>
    <w:p w14:paraId="2BB54B4F" w14:textId="37F0B20D" w:rsidR="00292802" w:rsidRPr="00292802" w:rsidRDefault="00292802" w:rsidP="00292802">
      <w:pPr>
        <w:pStyle w:val="Paragraphedeliste"/>
        <w:numPr>
          <w:ilvl w:val="0"/>
          <w:numId w:val="12"/>
        </w:numPr>
        <w:rPr>
          <w:b/>
          <w:bCs/>
        </w:rPr>
      </w:pPr>
      <w:r>
        <w:t>Organisation</w:t>
      </w:r>
      <w:r w:rsidRPr="00121DFA">
        <w:t xml:space="preserve"> de la première réunion du GT prévue le 16/04/2024 ;</w:t>
      </w:r>
    </w:p>
    <w:p w14:paraId="6516DDDA" w14:textId="77777777" w:rsidR="00292802" w:rsidRPr="00BE32CD" w:rsidRDefault="00292802" w:rsidP="00292802">
      <w:r w:rsidRPr="00121DFA">
        <w:t xml:space="preserve">D’ici la </w:t>
      </w:r>
      <w:r w:rsidRPr="00292802">
        <w:rPr>
          <w:b/>
          <w:bCs/>
        </w:rPr>
        <w:t>fin d’année 2024 :</w:t>
      </w:r>
    </w:p>
    <w:p w14:paraId="3949F154" w14:textId="4D846053" w:rsidR="00292802" w:rsidRPr="00292802" w:rsidRDefault="00292802" w:rsidP="00292802">
      <w:pPr>
        <w:pStyle w:val="Paragraphedeliste"/>
        <w:numPr>
          <w:ilvl w:val="0"/>
          <w:numId w:val="13"/>
        </w:numPr>
        <w:rPr>
          <w:b/>
          <w:bCs/>
        </w:rPr>
      </w:pPr>
      <w:r w:rsidRPr="00121DFA">
        <w:t>Deuxième réunion du GT en octobre 2024 (bilan des données récupérées</w:t>
      </w:r>
      <w:r>
        <w:t>, en fonction des objectifs et sous-objectifs précisés</w:t>
      </w:r>
      <w:r w:rsidRPr="00121DFA">
        <w:t>) ;</w:t>
      </w:r>
    </w:p>
    <w:p w14:paraId="64BBE407" w14:textId="115C0772" w:rsidR="00292802" w:rsidRPr="006636B2" w:rsidRDefault="00292802" w:rsidP="00292802">
      <w:pPr>
        <w:pStyle w:val="Paragraphedeliste"/>
        <w:numPr>
          <w:ilvl w:val="0"/>
          <w:numId w:val="13"/>
        </w:numPr>
        <w:rPr>
          <w:b/>
          <w:bCs/>
        </w:rPr>
      </w:pPr>
      <w:r>
        <w:t>Echange de données (convention si nécessaire) ;</w:t>
      </w:r>
    </w:p>
    <w:p w14:paraId="5A9A9554" w14:textId="2DA1B5CE" w:rsidR="006636B2" w:rsidRPr="006636B2" w:rsidRDefault="006636B2" w:rsidP="006636B2">
      <w:pPr>
        <w:pStyle w:val="Paragraphedeliste"/>
        <w:numPr>
          <w:ilvl w:val="0"/>
          <w:numId w:val="13"/>
        </w:numPr>
        <w:rPr>
          <w:rFonts w:asciiTheme="minorHAnsi" w:hAnsiTheme="minorHAnsi"/>
          <w:b/>
          <w:bCs/>
          <w:caps/>
          <w:noProof/>
          <w:sz w:val="24"/>
          <w:szCs w:val="24"/>
          <w:lang w:eastAsia="fr-FR"/>
        </w:rPr>
      </w:pPr>
      <w:r w:rsidRPr="00121DFA">
        <w:t>Production de cartes pour renseigner les interconnexions/solidarités</w:t>
      </w:r>
      <w:r w:rsidR="00304E12">
        <w:t>/flux d’eau</w:t>
      </w:r>
      <w:r w:rsidRPr="00121DFA">
        <w:t xml:space="preserve"> entre les territoires.</w:t>
      </w:r>
    </w:p>
    <w:p w14:paraId="670761D7" w14:textId="5DCC86BC" w:rsidR="00292802" w:rsidRPr="00BE32CD" w:rsidRDefault="00292802" w:rsidP="00292802">
      <w:r w:rsidRPr="00121DFA">
        <w:t>D’ici l</w:t>
      </w:r>
      <w:r w:rsidR="00072143">
        <w:t xml:space="preserve">e </w:t>
      </w:r>
      <w:r w:rsidR="00072143" w:rsidRPr="00072143">
        <w:rPr>
          <w:b/>
          <w:bCs/>
        </w:rPr>
        <w:t>premier semestre</w:t>
      </w:r>
      <w:r w:rsidR="00072143">
        <w:t xml:space="preserve"> </w:t>
      </w:r>
      <w:r w:rsidRPr="00292802">
        <w:rPr>
          <w:b/>
          <w:bCs/>
        </w:rPr>
        <w:t>2025 :</w:t>
      </w:r>
    </w:p>
    <w:p w14:paraId="2141686C" w14:textId="69C2F407" w:rsidR="00292802" w:rsidRPr="006636B2" w:rsidRDefault="00292802" w:rsidP="00292802">
      <w:pPr>
        <w:pStyle w:val="Paragraphedeliste"/>
        <w:numPr>
          <w:ilvl w:val="0"/>
          <w:numId w:val="15"/>
        </w:numPr>
        <w:rPr>
          <w:b/>
          <w:bCs/>
        </w:rPr>
      </w:pPr>
      <w:r w:rsidRPr="00121DFA">
        <w:t xml:space="preserve">Production de cartes à partir des données récupérées pour renseigner les territoires sur l’état </w:t>
      </w:r>
      <w:r w:rsidRPr="004D078C">
        <w:t>de l</w:t>
      </w:r>
      <w:r w:rsidR="00454AAA" w:rsidRPr="004D078C">
        <w:t xml:space="preserve">’eau en Bretagne </w:t>
      </w:r>
      <w:r w:rsidRPr="004D078C">
        <w:t xml:space="preserve">(volumes disponibles, </w:t>
      </w:r>
      <w:r w:rsidR="005D16A2" w:rsidRPr="004D078C">
        <w:t>volumes prélevés nets, niveau de la ressource,</w:t>
      </w:r>
      <w:r w:rsidR="005D16A2">
        <w:t xml:space="preserve"> </w:t>
      </w:r>
      <w:r w:rsidRPr="00121DFA">
        <w:t xml:space="preserve">consommation et prélèvements) </w:t>
      </w:r>
      <w:r w:rsidR="00160D18">
        <w:t>à une maille à définir ensemble</w:t>
      </w:r>
      <w:r w:rsidR="005D16A2">
        <w:t xml:space="preserve"> </w:t>
      </w:r>
      <w:r w:rsidRPr="00121DFA">
        <w:t>;</w:t>
      </w:r>
    </w:p>
    <w:p w14:paraId="78448E61" w14:textId="77777777" w:rsidR="006636B2" w:rsidRPr="00292802" w:rsidRDefault="006636B2" w:rsidP="006636B2">
      <w:pPr>
        <w:pStyle w:val="Paragraphedeliste"/>
        <w:numPr>
          <w:ilvl w:val="0"/>
          <w:numId w:val="15"/>
        </w:numPr>
        <w:rPr>
          <w:b/>
          <w:bCs/>
        </w:rPr>
      </w:pPr>
      <w:r w:rsidRPr="00121DFA">
        <w:t>État des lieux des données sur le territoire breton.</w:t>
      </w:r>
    </w:p>
    <w:p w14:paraId="1A968F01" w14:textId="76E8CE50" w:rsidR="00F811CA" w:rsidRPr="00D936EE" w:rsidRDefault="00F811CA" w:rsidP="00F811CA">
      <w:pPr>
        <w:pStyle w:val="Titre1"/>
        <w:rPr>
          <w:bCs/>
          <w:noProof/>
          <w:lang w:eastAsia="fr-FR"/>
        </w:rPr>
      </w:pPr>
      <w:r>
        <w:rPr>
          <w:noProof/>
          <w:lang w:eastAsia="fr-FR"/>
        </w:rPr>
        <w:lastRenderedPageBreak/>
        <w:t xml:space="preserve">Suivi et </w:t>
      </w:r>
      <w:r w:rsidRPr="00D936EE">
        <w:rPr>
          <w:noProof/>
          <w:lang w:eastAsia="fr-FR"/>
        </w:rPr>
        <w:t>indicateurs</w:t>
      </w:r>
    </w:p>
    <w:p w14:paraId="40D4122B" w14:textId="77E787BE" w:rsidR="00292802" w:rsidRPr="00292802" w:rsidRDefault="00292802" w:rsidP="00292802">
      <w:pPr>
        <w:rPr>
          <w:b/>
          <w:bCs/>
          <w:noProof/>
          <w:lang w:eastAsia="fr-FR"/>
        </w:rPr>
      </w:pPr>
      <w:r w:rsidRPr="007A0BDC">
        <w:rPr>
          <w:noProof/>
          <w:lang w:eastAsia="fr-FR"/>
        </w:rPr>
        <w:t>Le suivi de l’action est assuré par les deux co-pilotes du plan breton de résilience pour l’eau, à savoir l</w:t>
      </w:r>
      <w:r>
        <w:rPr>
          <w:noProof/>
          <w:lang w:eastAsia="fr-FR"/>
        </w:rPr>
        <w:t xml:space="preserve">a Région Bretagne </w:t>
      </w:r>
      <w:r w:rsidRPr="007A0BDC">
        <w:rPr>
          <w:noProof/>
          <w:lang w:eastAsia="fr-FR"/>
        </w:rPr>
        <w:t>et la DREAL Bretagne.</w:t>
      </w:r>
      <w:r>
        <w:rPr>
          <w:b/>
          <w:bCs/>
          <w:noProof/>
          <w:lang w:eastAsia="fr-FR"/>
        </w:rPr>
        <w:t xml:space="preserve"> </w:t>
      </w:r>
      <w:r>
        <w:rPr>
          <w:noProof/>
          <w:lang w:eastAsia="fr-FR"/>
        </w:rPr>
        <w:t>Le travail se fera en lien étroit avec l’OEB.</w:t>
      </w:r>
    </w:p>
    <w:p w14:paraId="22C9DA1C" w14:textId="77777777" w:rsidR="00292802" w:rsidRPr="009B26C9" w:rsidRDefault="00292802" w:rsidP="00292802">
      <w:pPr>
        <w:pStyle w:val="Titre2"/>
        <w:rPr>
          <w:noProof/>
          <w:lang w:eastAsia="fr-FR"/>
        </w:rPr>
      </w:pPr>
      <w:r w:rsidRPr="009B26C9">
        <w:rPr>
          <w:noProof/>
          <w:lang w:eastAsia="fr-FR"/>
        </w:rPr>
        <w:t>Indicateurs :</w:t>
      </w:r>
    </w:p>
    <w:p w14:paraId="34C11986" w14:textId="0AB0F8E7" w:rsidR="00292802" w:rsidRPr="00292802" w:rsidRDefault="00292802" w:rsidP="00292802">
      <w:pPr>
        <w:pStyle w:val="Paragraphedeliste"/>
        <w:numPr>
          <w:ilvl w:val="0"/>
          <w:numId w:val="17"/>
        </w:numPr>
        <w:jc w:val="left"/>
        <w:rPr>
          <w:b/>
          <w:bCs/>
          <w:noProof/>
          <w:lang w:eastAsia="fr-FR"/>
        </w:rPr>
      </w:pPr>
      <w:r>
        <w:rPr>
          <w:noProof/>
          <w:lang w:eastAsia="fr-FR"/>
        </w:rPr>
        <w:t>Quantités ou pourcentage de données récupérées ;</w:t>
      </w:r>
    </w:p>
    <w:p w14:paraId="6EFCE9BE" w14:textId="16994B24" w:rsidR="00292802" w:rsidRPr="00292802" w:rsidRDefault="00292802" w:rsidP="00292802">
      <w:pPr>
        <w:pStyle w:val="Paragraphedeliste"/>
        <w:numPr>
          <w:ilvl w:val="0"/>
          <w:numId w:val="17"/>
        </w:numPr>
        <w:jc w:val="left"/>
        <w:rPr>
          <w:b/>
          <w:bCs/>
          <w:noProof/>
          <w:lang w:eastAsia="fr-FR"/>
        </w:rPr>
      </w:pPr>
      <w:r>
        <w:rPr>
          <w:noProof/>
          <w:lang w:eastAsia="fr-FR"/>
        </w:rPr>
        <w:t>Quantités ou pourcentage de données manquantes restantes par rapport à celles escomptées ;</w:t>
      </w:r>
    </w:p>
    <w:p w14:paraId="77A00379" w14:textId="11E45E27" w:rsidR="00292802" w:rsidRPr="00830925" w:rsidRDefault="00292802" w:rsidP="00292802">
      <w:pPr>
        <w:pStyle w:val="Paragraphedeliste"/>
        <w:numPr>
          <w:ilvl w:val="0"/>
          <w:numId w:val="17"/>
        </w:numPr>
        <w:jc w:val="left"/>
        <w:rPr>
          <w:noProof/>
          <w:lang w:eastAsia="fr-FR"/>
        </w:rPr>
      </w:pPr>
      <w:r>
        <w:rPr>
          <w:noProof/>
          <w:lang w:eastAsia="fr-FR"/>
        </w:rPr>
        <w:t>Valorisation des données : nombre de cartes produites, pourcentage des données valorisées dans l’outil Ecom3.</w:t>
      </w:r>
    </w:p>
    <w:p w14:paraId="32A4C33E" w14:textId="1BF478B6" w:rsidR="00072143" w:rsidRPr="00830925" w:rsidRDefault="00072143" w:rsidP="00292802">
      <w:pPr>
        <w:pStyle w:val="Paragraphedeliste"/>
        <w:numPr>
          <w:ilvl w:val="0"/>
          <w:numId w:val="17"/>
        </w:numPr>
        <w:jc w:val="left"/>
        <w:rPr>
          <w:noProof/>
          <w:lang w:eastAsia="fr-FR"/>
        </w:rPr>
      </w:pPr>
      <w:r>
        <w:rPr>
          <w:noProof/>
          <w:lang w:eastAsia="fr-FR"/>
        </w:rPr>
        <w:t>Nombre de réunions du GT</w:t>
      </w:r>
    </w:p>
    <w:p w14:paraId="6070F725" w14:textId="62FE0143" w:rsidR="00072143" w:rsidRPr="00830925" w:rsidRDefault="00072143" w:rsidP="00292802">
      <w:pPr>
        <w:pStyle w:val="Paragraphedeliste"/>
        <w:numPr>
          <w:ilvl w:val="0"/>
          <w:numId w:val="17"/>
        </w:numPr>
        <w:jc w:val="left"/>
        <w:rPr>
          <w:noProof/>
          <w:lang w:eastAsia="fr-FR"/>
        </w:rPr>
      </w:pPr>
      <w:r>
        <w:rPr>
          <w:noProof/>
          <w:lang w:eastAsia="fr-FR"/>
        </w:rPr>
        <w:t xml:space="preserve">Nombre </w:t>
      </w:r>
      <w:r w:rsidR="00EA1F0F">
        <w:rPr>
          <w:noProof/>
          <w:lang w:eastAsia="fr-FR"/>
        </w:rPr>
        <w:t xml:space="preserve">typologie et </w:t>
      </w:r>
      <w:r>
        <w:rPr>
          <w:noProof/>
          <w:lang w:eastAsia="fr-FR"/>
        </w:rPr>
        <w:t>de structures qui fournissent de la donnée</w:t>
      </w:r>
    </w:p>
    <w:p w14:paraId="3AA526A7" w14:textId="77777777" w:rsidR="00F811CA" w:rsidRDefault="00F811CA" w:rsidP="00F811CA"/>
    <w:p w14:paraId="3112057E" w14:textId="77777777" w:rsidR="00F811CA" w:rsidRPr="00F811CA" w:rsidRDefault="00F811CA" w:rsidP="00F811CA"/>
    <w:sectPr w:rsidR="00F811CA" w:rsidRPr="00F811CA" w:rsidSect="00F811C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1FE"/>
    <w:multiLevelType w:val="hybridMultilevel"/>
    <w:tmpl w:val="51E2A4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26D46"/>
    <w:multiLevelType w:val="hybridMultilevel"/>
    <w:tmpl w:val="9C92F2FC"/>
    <w:lvl w:ilvl="0" w:tplc="3EE662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72131"/>
    <w:multiLevelType w:val="hybridMultilevel"/>
    <w:tmpl w:val="2D44F940"/>
    <w:lvl w:ilvl="0" w:tplc="361A042A">
      <w:start w:val="5"/>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93B58"/>
    <w:multiLevelType w:val="hybridMultilevel"/>
    <w:tmpl w:val="8C422E3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941BB7"/>
    <w:multiLevelType w:val="hybridMultilevel"/>
    <w:tmpl w:val="E348CA40"/>
    <w:lvl w:ilvl="0" w:tplc="D012B9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B80A64"/>
    <w:multiLevelType w:val="hybridMultilevel"/>
    <w:tmpl w:val="E85EE3B0"/>
    <w:lvl w:ilvl="0" w:tplc="FDC8A6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A3678D"/>
    <w:multiLevelType w:val="hybridMultilevel"/>
    <w:tmpl w:val="CFBCF9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7D4B08"/>
    <w:multiLevelType w:val="hybridMultilevel"/>
    <w:tmpl w:val="4EBA83D8"/>
    <w:lvl w:ilvl="0" w:tplc="5C28FB40">
      <w:start w:val="5"/>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E56E69"/>
    <w:multiLevelType w:val="hybridMultilevel"/>
    <w:tmpl w:val="EBB4E9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630792"/>
    <w:multiLevelType w:val="hybridMultilevel"/>
    <w:tmpl w:val="529A65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58100F"/>
    <w:multiLevelType w:val="hybridMultilevel"/>
    <w:tmpl w:val="CF0CAFE6"/>
    <w:lvl w:ilvl="0" w:tplc="7EC6F89A">
      <w:start w:val="5"/>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EF4D22"/>
    <w:multiLevelType w:val="hybridMultilevel"/>
    <w:tmpl w:val="580E9944"/>
    <w:lvl w:ilvl="0" w:tplc="523418D0">
      <w:start w:val="5"/>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A46D28"/>
    <w:multiLevelType w:val="hybridMultilevel"/>
    <w:tmpl w:val="E7262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C321F8"/>
    <w:multiLevelType w:val="hybridMultilevel"/>
    <w:tmpl w:val="C3BEF0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1660A2"/>
    <w:multiLevelType w:val="hybridMultilevel"/>
    <w:tmpl w:val="7388865A"/>
    <w:lvl w:ilvl="0" w:tplc="040C0005">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034A27"/>
    <w:multiLevelType w:val="hybridMultilevel"/>
    <w:tmpl w:val="FEF215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A4694E"/>
    <w:multiLevelType w:val="multilevel"/>
    <w:tmpl w:val="011865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4E4394"/>
    <w:multiLevelType w:val="hybridMultilevel"/>
    <w:tmpl w:val="897CE4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2F6A4B"/>
    <w:multiLevelType w:val="hybridMultilevel"/>
    <w:tmpl w:val="3E3607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723FD9"/>
    <w:multiLevelType w:val="hybridMultilevel"/>
    <w:tmpl w:val="36E2EEE2"/>
    <w:lvl w:ilvl="0" w:tplc="03AC47A0">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19"/>
  </w:num>
  <w:num w:numId="5">
    <w:abstractNumId w:val="16"/>
  </w:num>
  <w:num w:numId="6">
    <w:abstractNumId w:val="8"/>
  </w:num>
  <w:num w:numId="7">
    <w:abstractNumId w:val="4"/>
  </w:num>
  <w:num w:numId="8">
    <w:abstractNumId w:val="18"/>
  </w:num>
  <w:num w:numId="9">
    <w:abstractNumId w:val="3"/>
  </w:num>
  <w:num w:numId="10">
    <w:abstractNumId w:val="0"/>
  </w:num>
  <w:num w:numId="11">
    <w:abstractNumId w:val="10"/>
  </w:num>
  <w:num w:numId="12">
    <w:abstractNumId w:val="14"/>
  </w:num>
  <w:num w:numId="13">
    <w:abstractNumId w:val="6"/>
  </w:num>
  <w:num w:numId="14">
    <w:abstractNumId w:val="11"/>
  </w:num>
  <w:num w:numId="15">
    <w:abstractNumId w:val="13"/>
  </w:num>
  <w:num w:numId="16">
    <w:abstractNumId w:val="2"/>
  </w:num>
  <w:num w:numId="17">
    <w:abstractNumId w:val="15"/>
  </w:num>
  <w:num w:numId="18">
    <w:abstractNumId w:val="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3A"/>
    <w:rsid w:val="00013255"/>
    <w:rsid w:val="00014A43"/>
    <w:rsid w:val="00072143"/>
    <w:rsid w:val="000851E2"/>
    <w:rsid w:val="00160D18"/>
    <w:rsid w:val="00292802"/>
    <w:rsid w:val="002A1F06"/>
    <w:rsid w:val="00304E12"/>
    <w:rsid w:val="00426CE7"/>
    <w:rsid w:val="00454AAA"/>
    <w:rsid w:val="00485F0E"/>
    <w:rsid w:val="004D078C"/>
    <w:rsid w:val="004D7698"/>
    <w:rsid w:val="005253C2"/>
    <w:rsid w:val="00543F7F"/>
    <w:rsid w:val="00560666"/>
    <w:rsid w:val="005C7F37"/>
    <w:rsid w:val="005D16A2"/>
    <w:rsid w:val="006636B2"/>
    <w:rsid w:val="007A1921"/>
    <w:rsid w:val="0080119B"/>
    <w:rsid w:val="008210F5"/>
    <w:rsid w:val="00830925"/>
    <w:rsid w:val="008377D4"/>
    <w:rsid w:val="009A316F"/>
    <w:rsid w:val="009D5071"/>
    <w:rsid w:val="00A30688"/>
    <w:rsid w:val="00B125CE"/>
    <w:rsid w:val="00B1731B"/>
    <w:rsid w:val="00B23A92"/>
    <w:rsid w:val="00B6759E"/>
    <w:rsid w:val="00C02A19"/>
    <w:rsid w:val="00C20D9F"/>
    <w:rsid w:val="00CE1D54"/>
    <w:rsid w:val="00D11672"/>
    <w:rsid w:val="00E43DE9"/>
    <w:rsid w:val="00EA1F0F"/>
    <w:rsid w:val="00ED343A"/>
    <w:rsid w:val="00F81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9339"/>
  <w15:chartTrackingRefBased/>
  <w15:docId w15:val="{EB13E2FD-8CAB-443F-8F6B-8EC549EC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72"/>
    <w:pPr>
      <w:jc w:val="both"/>
    </w:pPr>
    <w:rPr>
      <w:rFonts w:ascii="Arial" w:hAnsi="Arial"/>
      <w:sz w:val="20"/>
    </w:rPr>
  </w:style>
  <w:style w:type="paragraph" w:styleId="Titre1">
    <w:name w:val="heading 1"/>
    <w:basedOn w:val="Normal"/>
    <w:next w:val="Normal"/>
    <w:link w:val="Titre1Car"/>
    <w:uiPriority w:val="9"/>
    <w:qFormat/>
    <w:rsid w:val="00D11672"/>
    <w:pPr>
      <w:keepNext/>
      <w:keepLines/>
      <w:shd w:val="solid" w:color="A0D5CD" w:fill="A0D5CD"/>
      <w:spacing w:before="240" w:after="0"/>
      <w:outlineLvl w:val="0"/>
    </w:pPr>
    <w:rPr>
      <w:rFonts w:ascii="Trebuchet MS" w:eastAsiaTheme="majorEastAsia" w:hAnsi="Trebuchet MS" w:cstheme="majorBidi"/>
      <w:b/>
      <w:color w:val="000000" w:themeColor="text1"/>
      <w:sz w:val="24"/>
      <w:szCs w:val="32"/>
    </w:rPr>
  </w:style>
  <w:style w:type="paragraph" w:styleId="Titre2">
    <w:name w:val="heading 2"/>
    <w:basedOn w:val="Normal"/>
    <w:next w:val="Normal"/>
    <w:link w:val="Titre2Car"/>
    <w:uiPriority w:val="9"/>
    <w:unhideWhenUsed/>
    <w:qFormat/>
    <w:rsid w:val="00F811CA"/>
    <w:pPr>
      <w:keepNext/>
      <w:keepLines/>
      <w:spacing w:before="40" w:after="0"/>
      <w:outlineLvl w:val="1"/>
    </w:pPr>
    <w:rPr>
      <w:rFonts w:ascii="Trebuchet MS" w:eastAsiaTheme="majorEastAsia" w:hAnsi="Trebuchet MS" w:cstheme="majorBidi"/>
      <w:b/>
      <w:caps/>
      <w:color w:val="A0D5CD"/>
      <w:sz w:val="22"/>
      <w:szCs w:val="26"/>
      <w:u w:val="single"/>
    </w:rPr>
  </w:style>
  <w:style w:type="paragraph" w:styleId="Titre3">
    <w:name w:val="heading 3"/>
    <w:basedOn w:val="Normal"/>
    <w:next w:val="Normal"/>
    <w:link w:val="Titre3Car"/>
    <w:uiPriority w:val="9"/>
    <w:unhideWhenUsed/>
    <w:qFormat/>
    <w:rsid w:val="00B23A92"/>
    <w:pPr>
      <w:keepNext/>
      <w:keepLines/>
      <w:spacing w:before="40" w:after="0"/>
      <w:outlineLvl w:val="2"/>
    </w:pPr>
    <w:rPr>
      <w:rFonts w:ascii="Trebuchet MS" w:eastAsiaTheme="majorEastAsia" w:hAnsi="Trebuchet MS" w:cstheme="majorBidi"/>
      <w:caps/>
      <w:kern w:val="0"/>
      <w:sz w:val="22"/>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23A92"/>
    <w:rPr>
      <w:rFonts w:ascii="Trebuchet MS" w:eastAsiaTheme="majorEastAsia" w:hAnsi="Trebuchet MS" w:cstheme="majorBidi"/>
      <w:caps/>
      <w:kern w:val="0"/>
      <w:szCs w:val="24"/>
      <w14:ligatures w14:val="none"/>
    </w:rPr>
  </w:style>
  <w:style w:type="character" w:customStyle="1" w:styleId="Titre1Car">
    <w:name w:val="Titre 1 Car"/>
    <w:basedOn w:val="Policepardfaut"/>
    <w:link w:val="Titre1"/>
    <w:uiPriority w:val="9"/>
    <w:rsid w:val="00D11672"/>
    <w:rPr>
      <w:rFonts w:ascii="Trebuchet MS" w:eastAsiaTheme="majorEastAsia" w:hAnsi="Trebuchet MS" w:cstheme="majorBidi"/>
      <w:b/>
      <w:color w:val="000000" w:themeColor="text1"/>
      <w:sz w:val="24"/>
      <w:szCs w:val="32"/>
      <w:shd w:val="solid" w:color="A0D5CD" w:fill="A0D5CD"/>
    </w:rPr>
  </w:style>
  <w:style w:type="paragraph" w:customStyle="1" w:styleId="Rang3">
    <w:name w:val="Rang 3"/>
    <w:basedOn w:val="Paragraphedeliste"/>
    <w:link w:val="Rang3Car"/>
    <w:qFormat/>
    <w:rsid w:val="00426CE7"/>
    <w:pPr>
      <w:spacing w:after="0"/>
      <w:ind w:left="0"/>
    </w:pPr>
    <w:rPr>
      <w:rFonts w:ascii="Trebuchet MS" w:hAnsi="Trebuchet MS"/>
      <w:b/>
      <w:bCs/>
      <w:kern w:val="0"/>
      <w:szCs w:val="20"/>
      <w:u w:val="double"/>
      <w14:ligatures w14:val="none"/>
    </w:rPr>
  </w:style>
  <w:style w:type="character" w:customStyle="1" w:styleId="Rang3Car">
    <w:name w:val="Rang 3 Car"/>
    <w:basedOn w:val="Policepardfaut"/>
    <w:link w:val="Rang3"/>
    <w:qFormat/>
    <w:rsid w:val="00426CE7"/>
    <w:rPr>
      <w:rFonts w:ascii="Trebuchet MS" w:hAnsi="Trebuchet MS"/>
      <w:b/>
      <w:bCs/>
      <w:kern w:val="0"/>
      <w:sz w:val="20"/>
      <w:szCs w:val="20"/>
      <w:u w:val="double"/>
      <w14:ligatures w14:val="none"/>
    </w:rPr>
  </w:style>
  <w:style w:type="paragraph" w:styleId="Paragraphedeliste">
    <w:name w:val="List Paragraph"/>
    <w:basedOn w:val="Normal"/>
    <w:uiPriority w:val="34"/>
    <w:qFormat/>
    <w:rsid w:val="00426CE7"/>
    <w:pPr>
      <w:ind w:left="720"/>
      <w:contextualSpacing/>
    </w:pPr>
  </w:style>
  <w:style w:type="character" w:customStyle="1" w:styleId="Titre2Car">
    <w:name w:val="Titre 2 Car"/>
    <w:basedOn w:val="Policepardfaut"/>
    <w:link w:val="Titre2"/>
    <w:uiPriority w:val="9"/>
    <w:rsid w:val="00F811CA"/>
    <w:rPr>
      <w:rFonts w:ascii="Trebuchet MS" w:eastAsiaTheme="majorEastAsia" w:hAnsi="Trebuchet MS" w:cstheme="majorBidi"/>
      <w:b/>
      <w:caps/>
      <w:color w:val="A0D5CD"/>
      <w:szCs w:val="26"/>
      <w:u w:val="single"/>
    </w:rPr>
  </w:style>
  <w:style w:type="paragraph" w:styleId="Titre">
    <w:name w:val="Title"/>
    <w:basedOn w:val="Normal"/>
    <w:link w:val="TitreCar"/>
    <w:uiPriority w:val="10"/>
    <w:qFormat/>
    <w:rsid w:val="00292802"/>
    <w:pPr>
      <w:pBdr>
        <w:bottom w:val="single" w:sz="12" w:space="4" w:color="4472C4" w:themeColor="accent1"/>
      </w:pBdr>
      <w:spacing w:after="120" w:line="240" w:lineRule="auto"/>
      <w:contextualSpacing/>
      <w:jc w:val="left"/>
    </w:pPr>
    <w:rPr>
      <w:rFonts w:asciiTheme="majorHAnsi" w:eastAsiaTheme="majorEastAsia" w:hAnsiTheme="majorHAnsi" w:cstheme="majorBidi"/>
      <w:color w:val="2F5496" w:themeColor="accent1" w:themeShade="BF"/>
      <w:kern w:val="28"/>
      <w:sz w:val="56"/>
      <w:lang w:eastAsia="ja-JP"/>
      <w14:ligatures w14:val="none"/>
    </w:rPr>
  </w:style>
  <w:style w:type="character" w:customStyle="1" w:styleId="TitreCar">
    <w:name w:val="Titre Car"/>
    <w:basedOn w:val="Policepardfaut"/>
    <w:link w:val="Titre"/>
    <w:uiPriority w:val="10"/>
    <w:rsid w:val="00292802"/>
    <w:rPr>
      <w:rFonts w:asciiTheme="majorHAnsi" w:eastAsiaTheme="majorEastAsia" w:hAnsiTheme="majorHAnsi" w:cstheme="majorBidi"/>
      <w:color w:val="2F5496" w:themeColor="accent1" w:themeShade="BF"/>
      <w:kern w:val="28"/>
      <w:sz w:val="56"/>
      <w:lang w:eastAsia="ja-JP"/>
      <w14:ligatures w14:val="none"/>
    </w:rPr>
  </w:style>
  <w:style w:type="character" w:styleId="Lienhypertexte">
    <w:name w:val="Hyperlink"/>
    <w:basedOn w:val="Policepardfaut"/>
    <w:uiPriority w:val="99"/>
    <w:unhideWhenUsed/>
    <w:rsid w:val="00292802"/>
    <w:rPr>
      <w:color w:val="0563C1" w:themeColor="hyperlink"/>
      <w:u w:val="single"/>
    </w:rPr>
  </w:style>
  <w:style w:type="character" w:styleId="Marquedecommentaire">
    <w:name w:val="annotation reference"/>
    <w:basedOn w:val="Policepardfaut"/>
    <w:uiPriority w:val="99"/>
    <w:semiHidden/>
    <w:unhideWhenUsed/>
    <w:rsid w:val="005C7F37"/>
    <w:rPr>
      <w:sz w:val="16"/>
      <w:szCs w:val="16"/>
    </w:rPr>
  </w:style>
  <w:style w:type="paragraph" w:styleId="Commentaire">
    <w:name w:val="annotation text"/>
    <w:basedOn w:val="Normal"/>
    <w:link w:val="CommentaireCar"/>
    <w:uiPriority w:val="99"/>
    <w:semiHidden/>
    <w:unhideWhenUsed/>
    <w:rsid w:val="005C7F37"/>
    <w:pPr>
      <w:spacing w:line="240" w:lineRule="auto"/>
    </w:pPr>
    <w:rPr>
      <w:szCs w:val="20"/>
    </w:rPr>
  </w:style>
  <w:style w:type="character" w:customStyle="1" w:styleId="CommentaireCar">
    <w:name w:val="Commentaire Car"/>
    <w:basedOn w:val="Policepardfaut"/>
    <w:link w:val="Commentaire"/>
    <w:uiPriority w:val="99"/>
    <w:semiHidden/>
    <w:rsid w:val="005C7F3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C7F37"/>
    <w:rPr>
      <w:b/>
      <w:bCs/>
    </w:rPr>
  </w:style>
  <w:style w:type="character" w:customStyle="1" w:styleId="ObjetducommentaireCar">
    <w:name w:val="Objet du commentaire Car"/>
    <w:basedOn w:val="CommentaireCar"/>
    <w:link w:val="Objetducommentaire"/>
    <w:uiPriority w:val="99"/>
    <w:semiHidden/>
    <w:rsid w:val="005C7F37"/>
    <w:rPr>
      <w:rFonts w:ascii="Arial" w:hAnsi="Arial"/>
      <w:b/>
      <w:bCs/>
      <w:sz w:val="20"/>
      <w:szCs w:val="20"/>
    </w:rPr>
  </w:style>
  <w:style w:type="paragraph" w:styleId="Textedebulles">
    <w:name w:val="Balloon Text"/>
    <w:basedOn w:val="Normal"/>
    <w:link w:val="TextedebullesCar"/>
    <w:uiPriority w:val="99"/>
    <w:semiHidden/>
    <w:unhideWhenUsed/>
    <w:rsid w:val="005C7F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F37"/>
    <w:rPr>
      <w:rFonts w:ascii="Segoe UI" w:hAnsi="Segoe UI" w:cs="Segoe UI"/>
      <w:sz w:val="18"/>
      <w:szCs w:val="18"/>
    </w:rPr>
  </w:style>
  <w:style w:type="paragraph" w:styleId="Rvision">
    <w:name w:val="Revision"/>
    <w:hidden/>
    <w:uiPriority w:val="99"/>
    <w:semiHidden/>
    <w:rsid w:val="005253C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etagne-environnement.fr/chiffres-cles-eau-bretagne-edition-2022-document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2532-5B66-4CD9-94CE-0DD8C8D5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1673</Words>
  <Characters>9203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GEFFRAY</dc:creator>
  <cp:keywords/>
  <dc:description/>
  <cp:lastModifiedBy>DUBOT Manon</cp:lastModifiedBy>
  <cp:revision>9</cp:revision>
  <dcterms:created xsi:type="dcterms:W3CDTF">2024-12-05T14:24:00Z</dcterms:created>
  <dcterms:modified xsi:type="dcterms:W3CDTF">2024-12-24T11:12:00Z</dcterms:modified>
</cp:coreProperties>
</file>